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37BD6CF8" w:rsidR="00D309CC" w:rsidRPr="000271B6" w:rsidRDefault="00D309CC" w:rsidP="00D46431">
      <w:pPr>
        <w:pStyle w:val="CH"/>
        <w:rPr>
          <w:lang w:val="en-US"/>
        </w:rPr>
      </w:pPr>
      <w:bookmarkStart w:id="0" w:name="historyclause"/>
      <w:r w:rsidRPr="000271B6">
        <w:rPr>
          <w:lang w:val="en-US"/>
        </w:rPr>
        <w:t>3GPP RAN</w:t>
      </w:r>
      <w:r w:rsidR="00CF20E3" w:rsidRPr="000271B6">
        <w:rPr>
          <w:lang w:val="en-US"/>
        </w:rPr>
        <w:t xml:space="preserve"> </w:t>
      </w:r>
      <w:r w:rsidRPr="000271B6">
        <w:rPr>
          <w:lang w:val="en-US"/>
        </w:rPr>
        <w:t>WG</w:t>
      </w:r>
      <w:r w:rsidR="003C564B" w:rsidRPr="000271B6">
        <w:rPr>
          <w:lang w:val="en-US"/>
        </w:rPr>
        <w:t>4</w:t>
      </w:r>
      <w:r w:rsidRPr="000271B6">
        <w:rPr>
          <w:lang w:val="en-US"/>
        </w:rPr>
        <w:t xml:space="preserve"> Meeting #</w:t>
      </w:r>
      <w:r w:rsidR="003C564B" w:rsidRPr="000271B6">
        <w:rPr>
          <w:lang w:val="en-US"/>
        </w:rPr>
        <w:t>9</w:t>
      </w:r>
      <w:r w:rsidR="008301A5" w:rsidRPr="000271B6">
        <w:rPr>
          <w:lang w:val="en-US"/>
        </w:rPr>
        <w:t>9</w:t>
      </w:r>
      <w:r w:rsidR="00B17447" w:rsidRPr="000271B6">
        <w:rPr>
          <w:lang w:val="en-US"/>
        </w:rPr>
        <w:t>-e</w:t>
      </w:r>
      <w:r w:rsidRPr="000271B6">
        <w:rPr>
          <w:lang w:val="en-US"/>
        </w:rPr>
        <w:tab/>
      </w:r>
      <w:r w:rsidR="00D46431" w:rsidRPr="000271B6">
        <w:rPr>
          <w:lang w:val="en-US"/>
        </w:rPr>
        <w:tab/>
      </w:r>
      <w:r w:rsidR="00AA39F6" w:rsidRPr="00AA39F6">
        <w:rPr>
          <w:lang w:val="en-US"/>
        </w:rPr>
        <w:t>R4-2109442</w:t>
      </w:r>
    </w:p>
    <w:p w14:paraId="50DC9730" w14:textId="56A985AA" w:rsidR="00D309CC" w:rsidRPr="000271B6" w:rsidRDefault="00B17447" w:rsidP="00D46431">
      <w:pPr>
        <w:pStyle w:val="CH"/>
        <w:tabs>
          <w:tab w:val="clear" w:pos="7920"/>
        </w:tabs>
        <w:rPr>
          <w:b w:val="0"/>
          <w:lang w:val="en-US"/>
        </w:rPr>
      </w:pPr>
      <w:r w:rsidRPr="000271B6">
        <w:rPr>
          <w:lang w:val="en-US"/>
        </w:rPr>
        <w:t>Electronic Meeting</w:t>
      </w:r>
      <w:r w:rsidR="00D309CC" w:rsidRPr="000271B6">
        <w:rPr>
          <w:lang w:val="en-US"/>
        </w:rPr>
        <w:t xml:space="preserve">, </w:t>
      </w:r>
      <w:r w:rsidR="008301A5" w:rsidRPr="000271B6">
        <w:rPr>
          <w:lang w:val="en-US"/>
        </w:rPr>
        <w:t>19 – 27 May,</w:t>
      </w:r>
      <w:r w:rsidR="003C564B" w:rsidRPr="000271B6">
        <w:rPr>
          <w:lang w:val="en-US"/>
        </w:rPr>
        <w:t xml:space="preserve"> 20</w:t>
      </w:r>
      <w:r w:rsidRPr="000271B6">
        <w:rPr>
          <w:lang w:val="en-US"/>
        </w:rPr>
        <w:t>2</w:t>
      </w:r>
      <w:r w:rsidR="00E4417F" w:rsidRPr="000271B6">
        <w:rPr>
          <w:lang w:val="en-US"/>
        </w:rPr>
        <w:t>1</w:t>
      </w:r>
      <w:r w:rsidR="00D46431" w:rsidRPr="000271B6">
        <w:rPr>
          <w:lang w:val="en-US"/>
        </w:rPr>
        <w:tab/>
      </w:r>
    </w:p>
    <w:p w14:paraId="39A0EE25" w14:textId="77777777" w:rsidR="00D309CC" w:rsidRPr="000271B6" w:rsidRDefault="00D309CC" w:rsidP="00D309CC">
      <w:pPr>
        <w:tabs>
          <w:tab w:val="left" w:pos="2160"/>
        </w:tabs>
        <w:rPr>
          <w:rFonts w:ascii="Arial" w:hAnsi="Arial" w:cs="Arial"/>
          <w:b/>
          <w:lang w:val="en-US"/>
        </w:rPr>
      </w:pPr>
    </w:p>
    <w:p w14:paraId="6DDCE159" w14:textId="05770BDF" w:rsidR="00D309CC" w:rsidRPr="000271B6" w:rsidRDefault="00D309CC" w:rsidP="00D309CC">
      <w:pPr>
        <w:pStyle w:val="CH"/>
        <w:rPr>
          <w:b w:val="0"/>
          <w:color w:val="FF0000"/>
          <w:lang w:val="en-US"/>
        </w:rPr>
      </w:pPr>
      <w:r w:rsidRPr="000271B6">
        <w:rPr>
          <w:lang w:val="en-US"/>
        </w:rPr>
        <w:t>Agenda item:</w:t>
      </w:r>
      <w:r w:rsidRPr="000271B6">
        <w:rPr>
          <w:lang w:val="en-US"/>
        </w:rPr>
        <w:tab/>
      </w:r>
      <w:r w:rsidR="00E11265" w:rsidRPr="000271B6">
        <w:rPr>
          <w:color w:val="000000" w:themeColor="text1"/>
          <w:lang w:val="en-US"/>
        </w:rPr>
        <w:t>1</w:t>
      </w:r>
      <w:r w:rsidR="00C54DF5">
        <w:rPr>
          <w:color w:val="000000" w:themeColor="text1"/>
          <w:lang w:val="en-US"/>
        </w:rPr>
        <w:t>5</w:t>
      </w:r>
    </w:p>
    <w:p w14:paraId="4DBE005A" w14:textId="590AAAFB" w:rsidR="00D309CC" w:rsidRPr="000271B6" w:rsidRDefault="00D309CC" w:rsidP="00D309CC">
      <w:pPr>
        <w:pStyle w:val="CH"/>
        <w:rPr>
          <w:b w:val="0"/>
          <w:lang w:val="en-US"/>
        </w:rPr>
      </w:pPr>
      <w:r w:rsidRPr="000271B6">
        <w:rPr>
          <w:lang w:val="en-US"/>
        </w:rPr>
        <w:t>Source:</w:t>
      </w:r>
      <w:r w:rsidRPr="000271B6">
        <w:rPr>
          <w:lang w:val="en-US"/>
        </w:rPr>
        <w:tab/>
        <w:t>Apple</w:t>
      </w:r>
      <w:r w:rsidR="00625565">
        <w:rPr>
          <w:lang w:val="en-US"/>
        </w:rPr>
        <w:t xml:space="preserve">, </w:t>
      </w:r>
      <w:r w:rsidR="00625565" w:rsidRPr="00625565">
        <w:rPr>
          <w:lang w:val="en-US"/>
        </w:rPr>
        <w:t>Skyworks Solutions Inc.</w:t>
      </w:r>
      <w:r w:rsidR="00AF6B7D">
        <w:rPr>
          <w:lang w:val="en-US"/>
        </w:rPr>
        <w:t>, T-Mobile USA</w:t>
      </w:r>
    </w:p>
    <w:p w14:paraId="0D2061A1" w14:textId="3199F7FF" w:rsidR="00D309CC" w:rsidRPr="000271B6" w:rsidRDefault="00D309CC" w:rsidP="008301A5">
      <w:pPr>
        <w:pStyle w:val="CH"/>
        <w:ind w:left="2250" w:hanging="2250"/>
        <w:rPr>
          <w:lang w:val="en-US"/>
        </w:rPr>
      </w:pPr>
      <w:r w:rsidRPr="000271B6">
        <w:rPr>
          <w:lang w:val="en-US"/>
        </w:rPr>
        <w:t>Title:</w:t>
      </w:r>
      <w:r w:rsidRPr="000271B6">
        <w:rPr>
          <w:lang w:val="en-US"/>
        </w:rPr>
        <w:tab/>
      </w:r>
      <w:r w:rsidR="008301A5" w:rsidRPr="000271B6">
        <w:rPr>
          <w:lang w:val="en-US"/>
        </w:rPr>
        <w:t>Supporting evolving regulation in b</w:t>
      </w:r>
      <w:r w:rsidR="00B51F12" w:rsidRPr="000271B6">
        <w:rPr>
          <w:lang w:val="en-US"/>
        </w:rPr>
        <w:t xml:space="preserve">and n77 </w:t>
      </w:r>
      <w:r w:rsidR="008301A5" w:rsidRPr="000271B6">
        <w:rPr>
          <w:lang w:val="en-US"/>
        </w:rPr>
        <w:t>for</w:t>
      </w:r>
      <w:r w:rsidR="004E2B61" w:rsidRPr="000271B6">
        <w:rPr>
          <w:lang w:val="en-US"/>
        </w:rPr>
        <w:t xml:space="preserve"> US</w:t>
      </w:r>
      <w:r w:rsidR="00E4417F" w:rsidRPr="000271B6">
        <w:rPr>
          <w:lang w:val="en-US"/>
        </w:rPr>
        <w:t xml:space="preserve"> 3.45 to 3.55 GHz</w:t>
      </w:r>
      <w:r w:rsidR="008301A5" w:rsidRPr="000271B6">
        <w:rPr>
          <w:lang w:val="en-US"/>
        </w:rPr>
        <w:t xml:space="preserve"> usage</w:t>
      </w:r>
    </w:p>
    <w:p w14:paraId="1F5D7531" w14:textId="4000D877" w:rsidR="000C554A" w:rsidRDefault="000C554A" w:rsidP="00D309CC">
      <w:pPr>
        <w:pStyle w:val="CH"/>
        <w:rPr>
          <w:lang w:val="en-US"/>
        </w:rPr>
      </w:pPr>
      <w:r>
        <w:rPr>
          <w:lang w:val="en-US"/>
        </w:rPr>
        <w:t>Work Item:</w:t>
      </w:r>
      <w:r>
        <w:rPr>
          <w:lang w:val="en-US"/>
        </w:rPr>
        <w:tab/>
      </w:r>
      <w:r w:rsidRPr="000C554A">
        <w:rPr>
          <w:lang w:val="en-US"/>
        </w:rPr>
        <w:t>NR_RF_FR1-Core</w:t>
      </w:r>
    </w:p>
    <w:p w14:paraId="2E4E044D" w14:textId="3767ACD0" w:rsidR="00D309CC" w:rsidRPr="000271B6" w:rsidRDefault="00D309CC" w:rsidP="00D309CC">
      <w:pPr>
        <w:pStyle w:val="CH"/>
        <w:rPr>
          <w:lang w:val="en-US"/>
        </w:rPr>
      </w:pPr>
      <w:r w:rsidRPr="000271B6">
        <w:rPr>
          <w:lang w:val="en-US"/>
        </w:rPr>
        <w:t>Document for:</w:t>
      </w:r>
      <w:r w:rsidRPr="000271B6">
        <w:rPr>
          <w:lang w:val="en-US"/>
        </w:rPr>
        <w:tab/>
      </w:r>
      <w:r w:rsidR="0009755D" w:rsidRPr="000271B6">
        <w:rPr>
          <w:lang w:val="en-US"/>
        </w:rPr>
        <w:t>Approval</w:t>
      </w:r>
    </w:p>
    <w:p w14:paraId="0207DB43" w14:textId="77777777" w:rsidR="00D46431" w:rsidRPr="000271B6" w:rsidRDefault="00D46431" w:rsidP="00D309CC">
      <w:pPr>
        <w:pStyle w:val="CH"/>
        <w:rPr>
          <w:b w:val="0"/>
          <w:color w:val="FF0000"/>
          <w:lang w:val="en-US"/>
        </w:rPr>
      </w:pPr>
    </w:p>
    <w:p w14:paraId="0273524A" w14:textId="77777777" w:rsidR="008E7986" w:rsidRPr="000271B6" w:rsidRDefault="008E7986" w:rsidP="008E7986">
      <w:pPr>
        <w:pStyle w:val="Heading1"/>
        <w:rPr>
          <w:lang w:val="en-US"/>
        </w:rPr>
      </w:pPr>
      <w:r w:rsidRPr="000271B6">
        <w:rPr>
          <w:lang w:val="en-US"/>
        </w:rPr>
        <w:t>1</w:t>
      </w:r>
      <w:r w:rsidRPr="000271B6">
        <w:rPr>
          <w:lang w:val="en-US"/>
        </w:rPr>
        <w:tab/>
        <w:t xml:space="preserve">Introduction </w:t>
      </w:r>
    </w:p>
    <w:p w14:paraId="0DDE3489" w14:textId="77777777" w:rsidR="00905157" w:rsidRPr="000271B6" w:rsidRDefault="00D554AC" w:rsidP="0075242E">
      <w:pPr>
        <w:rPr>
          <w:lang w:val="en-US"/>
        </w:rPr>
      </w:pPr>
      <w:r w:rsidRPr="000271B6">
        <w:rPr>
          <w:lang w:val="en-US"/>
        </w:rPr>
        <w:t xml:space="preserve">In </w:t>
      </w:r>
      <w:r w:rsidR="00196EAF" w:rsidRPr="000271B6">
        <w:rPr>
          <w:lang w:val="en-US"/>
        </w:rPr>
        <w:t>t</w:t>
      </w:r>
      <w:r w:rsidR="00360686" w:rsidRPr="000271B6">
        <w:rPr>
          <w:lang w:val="en-US"/>
        </w:rPr>
        <w:t>he</w:t>
      </w:r>
      <w:r w:rsidR="00196EAF" w:rsidRPr="000271B6">
        <w:rPr>
          <w:lang w:val="en-US"/>
        </w:rPr>
        <w:t xml:space="preserve"> </w:t>
      </w:r>
      <w:r w:rsidR="00C50B29" w:rsidRPr="000271B6">
        <w:rPr>
          <w:lang w:val="en-US"/>
        </w:rPr>
        <w:t>USA the FCC has release</w:t>
      </w:r>
      <w:r w:rsidR="00650B54" w:rsidRPr="000271B6">
        <w:rPr>
          <w:lang w:val="en-US"/>
        </w:rPr>
        <w:t>d</w:t>
      </w:r>
      <w:r w:rsidR="00C50B29" w:rsidRPr="000271B6">
        <w:rPr>
          <w:lang w:val="en-US"/>
        </w:rPr>
        <w:t xml:space="preserve"> new rules </w:t>
      </w:r>
      <w:r w:rsidR="00E4417F" w:rsidRPr="000271B6">
        <w:rPr>
          <w:lang w:val="en-US"/>
        </w:rPr>
        <w:t xml:space="preserve">and auctioned </w:t>
      </w:r>
      <w:r w:rsidR="00C50B29" w:rsidRPr="000271B6">
        <w:rPr>
          <w:lang w:val="en-US"/>
        </w:rPr>
        <w:t>the frequency range 3700-3980MHz [1]</w:t>
      </w:r>
      <w:r w:rsidR="00E4417F" w:rsidRPr="000271B6">
        <w:rPr>
          <w:lang w:val="en-US"/>
        </w:rPr>
        <w:t xml:space="preserve"> last year</w:t>
      </w:r>
      <w:r w:rsidR="00C50B29" w:rsidRPr="000271B6">
        <w:rPr>
          <w:lang w:val="en-US"/>
        </w:rPr>
        <w:t xml:space="preserve">. </w:t>
      </w:r>
      <w:r w:rsidR="00E4417F" w:rsidRPr="000271B6">
        <w:rPr>
          <w:lang w:val="en-US"/>
        </w:rPr>
        <w:t>RAN4 has discussed this and enabled usage of n77 for 3.7-3.98GHz by introducing this into the specs. This year again the FCC has released new rules [2] for the frequency range 3450-3550MHz, which is also covered by n77.</w:t>
      </w:r>
    </w:p>
    <w:p w14:paraId="0E26DF39" w14:textId="7614CF1A" w:rsidR="00905157" w:rsidRPr="000271B6" w:rsidRDefault="00A40DE7" w:rsidP="0075242E">
      <w:pPr>
        <w:rPr>
          <w:lang w:val="en-US"/>
        </w:rPr>
      </w:pPr>
      <w:r w:rsidRPr="000271B6">
        <w:rPr>
          <w:lang w:val="en-US"/>
        </w:rPr>
        <w:t>During the RAN4 #98bis meeting we raised a concern with legacy UEs operating in the US band n77</w:t>
      </w:r>
      <w:r w:rsidR="00D76F5B">
        <w:rPr>
          <w:lang w:val="en-US"/>
        </w:rPr>
        <w:t xml:space="preserve"> in the context of both </w:t>
      </w:r>
      <w:r w:rsidR="00F30782">
        <w:rPr>
          <w:lang w:val="en-US"/>
        </w:rPr>
        <w:t xml:space="preserve">sets of FCC </w:t>
      </w:r>
      <w:r w:rsidR="00D76F5B">
        <w:rPr>
          <w:lang w:val="en-US"/>
        </w:rPr>
        <w:t>rules</w:t>
      </w:r>
      <w:r w:rsidR="00905157" w:rsidRPr="000271B6">
        <w:rPr>
          <w:lang w:val="en-US"/>
        </w:rPr>
        <w:t xml:space="preserve"> </w:t>
      </w:r>
      <w:r w:rsidR="00905157" w:rsidRPr="000271B6">
        <w:rPr>
          <w:lang w:val="en-US"/>
        </w:rPr>
        <w:fldChar w:fldCharType="begin"/>
      </w:r>
      <w:r w:rsidR="00905157" w:rsidRPr="000271B6">
        <w:rPr>
          <w:lang w:val="en-US"/>
        </w:rPr>
        <w:instrText xml:space="preserve"> REF _Ref70321030 \r \h </w:instrText>
      </w:r>
      <w:r w:rsidR="00905157" w:rsidRPr="000271B6">
        <w:rPr>
          <w:lang w:val="en-US"/>
        </w:rPr>
      </w:r>
      <w:r w:rsidR="00905157" w:rsidRPr="000271B6">
        <w:rPr>
          <w:lang w:val="en-US"/>
        </w:rPr>
        <w:fldChar w:fldCharType="separate"/>
      </w:r>
      <w:r w:rsidR="00905157" w:rsidRPr="000271B6">
        <w:rPr>
          <w:lang w:val="en-US"/>
        </w:rPr>
        <w:t>[4]</w:t>
      </w:r>
      <w:r w:rsidR="00905157" w:rsidRPr="000271B6">
        <w:rPr>
          <w:lang w:val="en-US"/>
        </w:rPr>
        <w:fldChar w:fldCharType="end"/>
      </w:r>
      <w:r w:rsidRPr="000271B6">
        <w:rPr>
          <w:lang w:val="en-US"/>
        </w:rPr>
        <w:t xml:space="preserve"> and </w:t>
      </w:r>
      <w:r w:rsidR="000271B6" w:rsidRPr="000271B6">
        <w:rPr>
          <w:lang w:val="en-US"/>
        </w:rPr>
        <w:t>encouraged</w:t>
      </w:r>
      <w:r w:rsidRPr="000271B6">
        <w:rPr>
          <w:lang w:val="en-US"/>
        </w:rPr>
        <w:t xml:space="preserve"> companies to propose a solution how the network can distinguish devices supporting the new frequency range or not within the same release. </w:t>
      </w:r>
      <w:r w:rsidR="00905157" w:rsidRPr="000271B6">
        <w:rPr>
          <w:lang w:val="en-US"/>
        </w:rPr>
        <w:t>In the event that no solution is found, our proposal is to specify the new frequency range from Rel-17 onwards.</w:t>
      </w:r>
    </w:p>
    <w:p w14:paraId="5B1A0E52" w14:textId="2C244CCD" w:rsidR="00A40DE7" w:rsidRPr="000271B6" w:rsidRDefault="00155976" w:rsidP="0075242E">
      <w:pPr>
        <w:rPr>
          <w:lang w:val="en-US"/>
        </w:rPr>
      </w:pPr>
      <w:r w:rsidRPr="000271B6">
        <w:rPr>
          <w:lang w:val="en-US"/>
        </w:rPr>
        <w:t xml:space="preserve">Following discussions of this topics during the RAN4 #98bis meeting, the following WF was agreed </w:t>
      </w:r>
      <w:r w:rsidRPr="000271B6">
        <w:rPr>
          <w:lang w:val="en-US"/>
        </w:rPr>
        <w:fldChar w:fldCharType="begin"/>
      </w:r>
      <w:r w:rsidRPr="000271B6">
        <w:rPr>
          <w:lang w:val="en-US"/>
        </w:rPr>
        <w:instrText xml:space="preserve"> REF _Ref70321516 \r \h </w:instrText>
      </w:r>
      <w:r w:rsidRPr="000271B6">
        <w:rPr>
          <w:lang w:val="en-US"/>
        </w:rPr>
      </w:r>
      <w:r w:rsidRPr="000271B6">
        <w:rPr>
          <w:lang w:val="en-US"/>
        </w:rPr>
        <w:fldChar w:fldCharType="separate"/>
      </w:r>
      <w:r w:rsidRPr="000271B6">
        <w:rPr>
          <w:lang w:val="en-US"/>
        </w:rPr>
        <w:t>[5]</w:t>
      </w:r>
      <w:r w:rsidRPr="000271B6">
        <w:rPr>
          <w:lang w:val="en-US"/>
        </w:rPr>
        <w:fldChar w:fldCharType="end"/>
      </w:r>
      <w:r w:rsidRPr="000271B6">
        <w:rPr>
          <w:lang w:val="en-US"/>
        </w:rPr>
        <w:t>:</w:t>
      </w:r>
    </w:p>
    <w:tbl>
      <w:tblPr>
        <w:tblStyle w:val="TableGrid"/>
        <w:tblW w:w="0" w:type="auto"/>
        <w:tblLook w:val="04A0" w:firstRow="1" w:lastRow="0" w:firstColumn="1" w:lastColumn="0" w:noHBand="0" w:noVBand="1"/>
      </w:tblPr>
      <w:tblGrid>
        <w:gridCol w:w="9631"/>
      </w:tblGrid>
      <w:tr w:rsidR="00E647B0" w:rsidRPr="000271B6" w14:paraId="1BD1FC82" w14:textId="77777777" w:rsidTr="00E647B0">
        <w:tc>
          <w:tcPr>
            <w:tcW w:w="9631" w:type="dxa"/>
          </w:tcPr>
          <w:p w14:paraId="1F202FEF" w14:textId="201562D1" w:rsidR="00E647B0" w:rsidRPr="000271B6" w:rsidRDefault="00E647B0" w:rsidP="00E647B0">
            <w:pPr>
              <w:pStyle w:val="B1"/>
              <w:rPr>
                <w:lang w:val="en-US"/>
              </w:rPr>
            </w:pPr>
            <w:r w:rsidRPr="000271B6">
              <w:rPr>
                <w:lang w:val="en-US"/>
              </w:rPr>
              <w:t>-</w:t>
            </w:r>
            <w:r w:rsidRPr="000271B6">
              <w:rPr>
                <w:lang w:val="en-US"/>
              </w:rPr>
              <w:tab/>
              <w:t>No UE SEM modification is needed for adding 3.45 – 3.55 GHz in US Band n77.</w:t>
            </w:r>
          </w:p>
          <w:p w14:paraId="30DBA790" w14:textId="1E51D7C9" w:rsidR="00E647B0" w:rsidRPr="000271B6" w:rsidRDefault="00E647B0" w:rsidP="00E647B0">
            <w:pPr>
              <w:pStyle w:val="B1"/>
              <w:rPr>
                <w:lang w:val="en-US"/>
              </w:rPr>
            </w:pPr>
            <w:r w:rsidRPr="000271B6">
              <w:rPr>
                <w:lang w:val="en-US"/>
              </w:rPr>
              <w:t>-</w:t>
            </w:r>
            <w:r w:rsidRPr="000271B6">
              <w:rPr>
                <w:lang w:val="en-US"/>
              </w:rPr>
              <w:tab/>
              <w:t>No modification to UE coexistence bands is needed for adding 3.45 – 3.55 GHz in US Band n77.</w:t>
            </w:r>
          </w:p>
          <w:p w14:paraId="75B7FA94" w14:textId="44CFEBB2" w:rsidR="00E647B0" w:rsidRPr="000271B6" w:rsidRDefault="00E647B0" w:rsidP="00E647B0">
            <w:pPr>
              <w:pStyle w:val="B1"/>
              <w:rPr>
                <w:lang w:val="en-US"/>
              </w:rPr>
            </w:pPr>
            <w:r w:rsidRPr="000271B6">
              <w:rPr>
                <w:lang w:val="en-US"/>
              </w:rPr>
              <w:t>-</w:t>
            </w:r>
            <w:r w:rsidRPr="000271B6">
              <w:rPr>
                <w:lang w:val="en-US"/>
              </w:rPr>
              <w:tab/>
              <w:t>Note 12 in Table 5.2-1 in TS 38.101-1 is modified to cover the support of 3.45 – 3.55GHz range. One of these notes is chosen in next meeting.</w:t>
            </w:r>
          </w:p>
          <w:p w14:paraId="2E14F39B" w14:textId="3593DB37" w:rsidR="00E647B0" w:rsidRPr="000271B6" w:rsidRDefault="00E647B0" w:rsidP="00757123">
            <w:pPr>
              <w:pStyle w:val="B2"/>
              <w:rPr>
                <w:lang w:val="en-US"/>
              </w:rPr>
            </w:pPr>
            <w:r w:rsidRPr="000271B6">
              <w:rPr>
                <w:lang w:val="en-US"/>
              </w:rPr>
              <w:t>-</w:t>
            </w:r>
            <w:r w:rsidRPr="000271B6">
              <w:rPr>
                <w:lang w:val="en-US"/>
              </w:rPr>
              <w:tab/>
              <w:t xml:space="preserve"> “In the USA the Band n77 usage is restricted to outside the Band n48 frequency range.” </w:t>
            </w:r>
          </w:p>
          <w:p w14:paraId="74D25440" w14:textId="7C7C8295" w:rsidR="00E647B0" w:rsidRPr="000271B6" w:rsidRDefault="00E647B0" w:rsidP="00757123">
            <w:pPr>
              <w:pStyle w:val="B2"/>
              <w:rPr>
                <w:lang w:val="en-US"/>
              </w:rPr>
            </w:pPr>
            <w:r w:rsidRPr="000271B6">
              <w:rPr>
                <w:lang w:val="en-US"/>
              </w:rPr>
              <w:t>-</w:t>
            </w:r>
            <w:r w:rsidRPr="000271B6">
              <w:rPr>
                <w:lang w:val="en-US"/>
              </w:rPr>
              <w:tab/>
              <w:t xml:space="preserve"> “In the USA this band is restricted to 3450 – 3550 MHz and 3700 – 3980 </w:t>
            </w:r>
            <w:r w:rsidR="000271B6" w:rsidRPr="000271B6">
              <w:rPr>
                <w:lang w:val="en-US"/>
              </w:rPr>
              <w:t>MHz</w:t>
            </w:r>
            <w:r w:rsidRPr="000271B6">
              <w:rPr>
                <w:lang w:val="en-US"/>
              </w:rPr>
              <w:t xml:space="preserve">” </w:t>
            </w:r>
          </w:p>
          <w:p w14:paraId="43F71E60" w14:textId="14463BB8" w:rsidR="00E647B0" w:rsidRPr="000271B6" w:rsidRDefault="00E647B0" w:rsidP="00E647B0">
            <w:pPr>
              <w:pStyle w:val="B1"/>
              <w:rPr>
                <w:lang w:val="en-US"/>
              </w:rPr>
            </w:pPr>
            <w:r w:rsidRPr="000271B6">
              <w:rPr>
                <w:lang w:val="en-US"/>
              </w:rPr>
              <w:t>-</w:t>
            </w:r>
            <w:r w:rsidRPr="000271B6">
              <w:rPr>
                <w:lang w:val="en-US"/>
              </w:rPr>
              <w:tab/>
              <w:t xml:space="preserve">Changes (in emission limits) are needed in BS specifications to enable US 3.45 – 3.55 GHz in Band n77.    </w:t>
            </w:r>
          </w:p>
          <w:p w14:paraId="7A551DEA" w14:textId="656DB624" w:rsidR="00E647B0" w:rsidRPr="000271B6" w:rsidRDefault="00E647B0" w:rsidP="00E647B0">
            <w:pPr>
              <w:pStyle w:val="B1"/>
              <w:rPr>
                <w:lang w:val="en-US"/>
              </w:rPr>
            </w:pPr>
            <w:r w:rsidRPr="000271B6">
              <w:rPr>
                <w:lang w:val="en-US"/>
              </w:rPr>
              <w:t>-</w:t>
            </w:r>
            <w:r w:rsidRPr="000271B6">
              <w:rPr>
                <w:lang w:val="en-US"/>
              </w:rPr>
              <w:tab/>
              <w:t>UE and BS CRs will be treated together as a single package.</w:t>
            </w:r>
          </w:p>
          <w:p w14:paraId="2E69A06E" w14:textId="3CF17B0A" w:rsidR="00E647B0" w:rsidRPr="000271B6" w:rsidRDefault="00E647B0" w:rsidP="00E647B0">
            <w:pPr>
              <w:pStyle w:val="B1"/>
              <w:rPr>
                <w:lang w:val="en-US"/>
              </w:rPr>
            </w:pPr>
            <w:r w:rsidRPr="000271B6">
              <w:rPr>
                <w:lang w:val="en-US"/>
              </w:rPr>
              <w:t>-</w:t>
            </w:r>
            <w:r w:rsidRPr="000271B6">
              <w:rPr>
                <w:lang w:val="en-US"/>
              </w:rPr>
              <w:tab/>
              <w:t xml:space="preserve">Aim to conclude the support of US 3.45 – 3.55GHz range in Band n77 in next RAN4 meeting.                  </w:t>
            </w:r>
          </w:p>
          <w:p w14:paraId="253C70B5" w14:textId="170A010F" w:rsidR="00E647B0" w:rsidRPr="000271B6" w:rsidRDefault="00E647B0" w:rsidP="00E647B0">
            <w:pPr>
              <w:pStyle w:val="B1"/>
              <w:rPr>
                <w:lang w:val="en-US"/>
              </w:rPr>
            </w:pPr>
            <w:r w:rsidRPr="000271B6">
              <w:rPr>
                <w:lang w:val="en-US"/>
              </w:rPr>
              <w:t>-</w:t>
            </w:r>
            <w:r w:rsidRPr="000271B6">
              <w:rPr>
                <w:lang w:val="en-US"/>
              </w:rPr>
              <w:tab/>
              <w:t>For further investigation</w:t>
            </w:r>
          </w:p>
          <w:p w14:paraId="1D067562" w14:textId="75D7486E" w:rsidR="00E647B0" w:rsidRPr="000271B6" w:rsidRDefault="00E647B0" w:rsidP="00757123">
            <w:pPr>
              <w:pStyle w:val="B2"/>
              <w:rPr>
                <w:lang w:val="en-US"/>
              </w:rPr>
            </w:pPr>
            <w:r w:rsidRPr="000271B6">
              <w:rPr>
                <w:lang w:val="en-US"/>
              </w:rPr>
              <w:t>-</w:t>
            </w:r>
            <w:r w:rsidRPr="000271B6">
              <w:rPr>
                <w:lang w:val="en-US"/>
              </w:rPr>
              <w:tab/>
              <w:t>The issue on how the network can distinguish devices supporting the new frequency or not within the same release</w:t>
            </w:r>
          </w:p>
        </w:tc>
      </w:tr>
    </w:tbl>
    <w:p w14:paraId="07A31A9C" w14:textId="77777777" w:rsidR="00155976" w:rsidRPr="000271B6" w:rsidRDefault="00155976" w:rsidP="0075242E">
      <w:pPr>
        <w:rPr>
          <w:lang w:val="en-US"/>
        </w:rPr>
      </w:pPr>
    </w:p>
    <w:p w14:paraId="06E92CC7" w14:textId="07BC9852" w:rsidR="008E7986" w:rsidRPr="000271B6" w:rsidRDefault="00196EAF" w:rsidP="0075242E">
      <w:pPr>
        <w:rPr>
          <w:lang w:val="en-US"/>
        </w:rPr>
      </w:pPr>
      <w:r w:rsidRPr="000271B6">
        <w:rPr>
          <w:lang w:val="en-US"/>
        </w:rPr>
        <w:t xml:space="preserve">This paper </w:t>
      </w:r>
      <w:r w:rsidR="00CF4702" w:rsidRPr="000271B6">
        <w:rPr>
          <w:lang w:val="en-US"/>
        </w:rPr>
        <w:t>addresses</w:t>
      </w:r>
      <w:r w:rsidRPr="000271B6">
        <w:rPr>
          <w:lang w:val="en-US"/>
        </w:rPr>
        <w:t xml:space="preserve"> </w:t>
      </w:r>
      <w:r w:rsidR="001F0E95" w:rsidRPr="000271B6">
        <w:rPr>
          <w:lang w:val="en-US"/>
        </w:rPr>
        <w:t xml:space="preserve">the </w:t>
      </w:r>
      <w:r w:rsidR="000E6182" w:rsidRPr="000271B6">
        <w:rPr>
          <w:lang w:val="en-US"/>
        </w:rPr>
        <w:t xml:space="preserve">two remaining open issues related to the note in the band definition and the </w:t>
      </w:r>
      <w:r w:rsidR="001F0E95" w:rsidRPr="000271B6">
        <w:rPr>
          <w:lang w:val="en-US"/>
        </w:rPr>
        <w:t>legacy UE issue.</w:t>
      </w:r>
    </w:p>
    <w:p w14:paraId="3A67921B" w14:textId="686CE45B" w:rsidR="008E7986" w:rsidRPr="000271B6" w:rsidRDefault="008E7986" w:rsidP="008E7986">
      <w:pPr>
        <w:pStyle w:val="Heading1"/>
        <w:rPr>
          <w:lang w:val="en-US"/>
        </w:rPr>
      </w:pPr>
      <w:r w:rsidRPr="000271B6">
        <w:rPr>
          <w:lang w:val="en-US"/>
        </w:rPr>
        <w:t>2</w:t>
      </w:r>
      <w:r w:rsidRPr="000271B6">
        <w:rPr>
          <w:lang w:val="en-US"/>
        </w:rPr>
        <w:tab/>
      </w:r>
      <w:r w:rsidR="00757123" w:rsidRPr="000271B6">
        <w:rPr>
          <w:lang w:val="en-US"/>
        </w:rPr>
        <w:t>Discussion</w:t>
      </w:r>
    </w:p>
    <w:p w14:paraId="5D72F71F" w14:textId="29D932D6" w:rsidR="00CC3E20" w:rsidRPr="000271B6" w:rsidRDefault="00CC3E20" w:rsidP="0009755D">
      <w:pPr>
        <w:rPr>
          <w:lang w:val="en-US"/>
        </w:rPr>
      </w:pPr>
      <w:r w:rsidRPr="000271B6">
        <w:rPr>
          <w:lang w:val="en-US"/>
        </w:rPr>
        <w:t xml:space="preserve">We recall from the WF </w:t>
      </w:r>
      <w:r w:rsidRPr="000271B6">
        <w:rPr>
          <w:lang w:val="en-US"/>
        </w:rPr>
        <w:fldChar w:fldCharType="begin"/>
      </w:r>
      <w:r w:rsidRPr="000271B6">
        <w:rPr>
          <w:lang w:val="en-US"/>
        </w:rPr>
        <w:instrText xml:space="preserve"> REF _Ref70321030 \r \h </w:instrText>
      </w:r>
      <w:r w:rsidRPr="000271B6">
        <w:rPr>
          <w:lang w:val="en-US"/>
        </w:rPr>
      </w:r>
      <w:r w:rsidRPr="000271B6">
        <w:rPr>
          <w:lang w:val="en-US"/>
        </w:rPr>
        <w:fldChar w:fldCharType="separate"/>
      </w:r>
      <w:r w:rsidRPr="000271B6">
        <w:rPr>
          <w:lang w:val="en-US"/>
        </w:rPr>
        <w:t>[4]</w:t>
      </w:r>
      <w:r w:rsidRPr="000271B6">
        <w:rPr>
          <w:lang w:val="en-US"/>
        </w:rPr>
        <w:fldChar w:fldCharType="end"/>
      </w:r>
      <w:r w:rsidRPr="000271B6">
        <w:rPr>
          <w:lang w:val="en-US"/>
        </w:rPr>
        <w:t xml:space="preserve"> that two options are considered for the proposed note to the band n77 definition:</w:t>
      </w:r>
    </w:p>
    <w:p w14:paraId="612A5852" w14:textId="0C9703FB" w:rsidR="00CC3E20" w:rsidRPr="000271B6" w:rsidRDefault="00094BF6" w:rsidP="00CC3E20">
      <w:pPr>
        <w:pStyle w:val="B1"/>
        <w:rPr>
          <w:lang w:val="en-US"/>
        </w:rPr>
      </w:pPr>
      <w:r w:rsidRPr="000271B6">
        <w:rPr>
          <w:lang w:val="en-US"/>
        </w:rPr>
        <w:t>Option 1:</w:t>
      </w:r>
      <w:r w:rsidR="00CC3E20" w:rsidRPr="000271B6">
        <w:rPr>
          <w:lang w:val="en-US"/>
        </w:rPr>
        <w:tab/>
        <w:t xml:space="preserve"> “In the USA the Band n77 usage is restricted to outside the Band n48 frequency range.” </w:t>
      </w:r>
    </w:p>
    <w:p w14:paraId="308B1FD3" w14:textId="7CB2FBA3" w:rsidR="00CC3E20" w:rsidRPr="000271B6" w:rsidRDefault="00094BF6" w:rsidP="00CC3E20">
      <w:pPr>
        <w:pStyle w:val="B1"/>
        <w:rPr>
          <w:lang w:val="en-US"/>
        </w:rPr>
      </w:pPr>
      <w:r w:rsidRPr="000271B6">
        <w:rPr>
          <w:lang w:val="en-US"/>
        </w:rPr>
        <w:t>Option 2:</w:t>
      </w:r>
      <w:r w:rsidR="00CC3E20" w:rsidRPr="000271B6">
        <w:rPr>
          <w:lang w:val="en-US"/>
        </w:rPr>
        <w:tab/>
        <w:t xml:space="preserve"> “In the USA this band is restricted to 3450 – 3550 MHz and 3700 – 3980 MHz.” </w:t>
      </w:r>
    </w:p>
    <w:p w14:paraId="425B1A54" w14:textId="5F4A9D65" w:rsidR="004C3481" w:rsidRPr="000271B6" w:rsidRDefault="00CC3E20" w:rsidP="008F0727">
      <w:pPr>
        <w:rPr>
          <w:lang w:val="en-US"/>
        </w:rPr>
      </w:pPr>
      <w:r w:rsidRPr="000271B6">
        <w:rPr>
          <w:lang w:val="en-US"/>
        </w:rPr>
        <w:t xml:space="preserve">From the perspective of enabling band n77 in the new frequency range for US operation, both </w:t>
      </w:r>
      <w:r w:rsidR="003613DC" w:rsidRPr="000271B6">
        <w:rPr>
          <w:lang w:val="en-US"/>
        </w:rPr>
        <w:t xml:space="preserve">options allow such operation.  Thus, the only distinction between these options is whether an explicit statement of the allowed frequency </w:t>
      </w:r>
      <w:r w:rsidR="003613DC" w:rsidRPr="000271B6">
        <w:rPr>
          <w:lang w:val="en-US"/>
        </w:rPr>
        <w:lastRenderedPageBreak/>
        <w:t>range of operation (Option 2) is more valuable than an implicit allowance of any freq</w:t>
      </w:r>
      <w:r w:rsidR="0007032C" w:rsidRPr="000271B6">
        <w:rPr>
          <w:lang w:val="en-US"/>
        </w:rPr>
        <w:t>u</w:t>
      </w:r>
      <w:r w:rsidR="003613DC" w:rsidRPr="000271B6">
        <w:rPr>
          <w:lang w:val="en-US"/>
        </w:rPr>
        <w:t>ency within band n77 and outside of band n48 (Option 1).</w:t>
      </w:r>
      <w:r w:rsidR="00903180" w:rsidRPr="000271B6">
        <w:rPr>
          <w:lang w:val="en-US"/>
        </w:rPr>
        <w:t xml:space="preserve">  Because RAN4 has recognized that, in principle, issues with legacy UEs can appear if regulat</w:t>
      </w:r>
      <w:r w:rsidR="000D1712" w:rsidRPr="000271B6">
        <w:rPr>
          <w:lang w:val="en-US"/>
        </w:rPr>
        <w:t xml:space="preserve">ory </w:t>
      </w:r>
      <w:r w:rsidR="000271B6" w:rsidRPr="000271B6">
        <w:rPr>
          <w:lang w:val="en-US"/>
        </w:rPr>
        <w:t>requirements</w:t>
      </w:r>
      <w:r w:rsidR="000D1712" w:rsidRPr="000271B6">
        <w:rPr>
          <w:lang w:val="en-US"/>
        </w:rPr>
        <w:t xml:space="preserve"> associated with a frequency range </w:t>
      </w:r>
      <w:r w:rsidR="00903180" w:rsidRPr="000271B6">
        <w:rPr>
          <w:lang w:val="en-US"/>
        </w:rPr>
        <w:t xml:space="preserve">evolve </w:t>
      </w:r>
      <w:r w:rsidR="000D1712" w:rsidRPr="000271B6">
        <w:rPr>
          <w:lang w:val="en-US"/>
        </w:rPr>
        <w:t xml:space="preserve">over time (especially if such changes are within a single release time frame), then Option 2 is an approach which carries much less risk than Option 1.  Furthermore, Option 1 might not be strictly aligned with US regulation, since the FCC does not allow UE emissions </w:t>
      </w:r>
      <w:r w:rsidR="005C3888" w:rsidRPr="000271B6">
        <w:rPr>
          <w:lang w:val="en-US"/>
        </w:rPr>
        <w:t>on</w:t>
      </w:r>
      <w:r w:rsidR="000D1712" w:rsidRPr="000271B6">
        <w:rPr>
          <w:lang w:val="en-US"/>
        </w:rPr>
        <w:t xml:space="preserve"> any frequency within the n77 band range and excluding the n48 range:  in the US the FCC has only licensed the range from 3.7 – 3.98 GHz and plans to license the range from 3.45 – 3.55.  Thus, other frequency ranges</w:t>
      </w:r>
      <w:r w:rsidR="0026625A" w:rsidRPr="000271B6">
        <w:rPr>
          <w:lang w:val="en-US"/>
        </w:rPr>
        <w:t xml:space="preserve"> (e.g. 3.3 – 3.45 GHz; 3.98 – 4.2 GHz)</w:t>
      </w:r>
      <w:r w:rsidR="000D1712" w:rsidRPr="000271B6">
        <w:rPr>
          <w:lang w:val="en-US"/>
        </w:rPr>
        <w:t xml:space="preserve"> within band n77 are also not allowed by US regulation.</w:t>
      </w:r>
    </w:p>
    <w:p w14:paraId="7D8BC3E3" w14:textId="6EA46CD7" w:rsidR="00E12D5A" w:rsidRPr="000271B6" w:rsidRDefault="00E12D5A" w:rsidP="00E12D5A">
      <w:pPr>
        <w:pStyle w:val="TOC1"/>
        <w:rPr>
          <w:noProof/>
          <w:lang w:val="en-US"/>
        </w:rPr>
      </w:pPr>
      <w:r w:rsidRPr="000271B6">
        <w:rPr>
          <w:noProof/>
          <w:lang w:val="en-US"/>
        </w:rPr>
        <w:t xml:space="preserve">Proposal </w:t>
      </w:r>
      <w:r w:rsidR="00757123" w:rsidRPr="000271B6">
        <w:rPr>
          <w:noProof/>
          <w:lang w:val="en-US"/>
        </w:rPr>
        <w:t>1</w:t>
      </w:r>
      <w:r w:rsidRPr="000271B6">
        <w:rPr>
          <w:noProof/>
          <w:lang w:val="en-US"/>
        </w:rPr>
        <w:t>:</w:t>
      </w:r>
      <w:r w:rsidRPr="000271B6">
        <w:rPr>
          <w:noProof/>
          <w:lang w:val="en-US"/>
        </w:rPr>
        <w:tab/>
      </w:r>
      <w:r w:rsidR="000D1712" w:rsidRPr="000271B6">
        <w:rPr>
          <w:noProof/>
          <w:lang w:val="en-US"/>
        </w:rPr>
        <w:t>RAN4 shall adopt the band n77 note to read “In the USA this band is restricted to 3450 – 3550 MHz and 3700 – 3980 MHz.”</w:t>
      </w:r>
    </w:p>
    <w:p w14:paraId="7920EC77" w14:textId="266BBAFF" w:rsidR="0033319F" w:rsidRPr="000271B6" w:rsidRDefault="007311BF" w:rsidP="0033319F">
      <w:pPr>
        <w:rPr>
          <w:lang w:val="en-US"/>
        </w:rPr>
      </w:pPr>
      <w:r w:rsidRPr="000271B6">
        <w:rPr>
          <w:lang w:val="en-US"/>
        </w:rPr>
        <w:t>Due to high demand of 3.5 GHz spectrum in the US, enabling the use of the new frequency range within band n77 as quickly as possible is a priority for the entire cellular ecosystem. Thus, it is preferred to fin</w:t>
      </w:r>
      <w:r w:rsidR="00F30716" w:rsidRPr="000271B6">
        <w:rPr>
          <w:lang w:val="en-US"/>
        </w:rPr>
        <w:t>d</w:t>
      </w:r>
      <w:r w:rsidRPr="000271B6">
        <w:rPr>
          <w:lang w:val="en-US"/>
        </w:rPr>
        <w:t xml:space="preserve"> a solution for the legacy UE issue within Rel-16 scope, if possible.</w:t>
      </w:r>
      <w:r w:rsidR="0033319F" w:rsidRPr="000271B6">
        <w:rPr>
          <w:lang w:val="en-US"/>
        </w:rPr>
        <w:t xml:space="preserve"> As we highlighted in our contribution last meeting </w:t>
      </w:r>
      <w:r w:rsidR="0033319F" w:rsidRPr="000271B6">
        <w:rPr>
          <w:lang w:val="en-US"/>
        </w:rPr>
        <w:fldChar w:fldCharType="begin"/>
      </w:r>
      <w:r w:rsidR="0033319F" w:rsidRPr="000271B6">
        <w:rPr>
          <w:lang w:val="en-US"/>
        </w:rPr>
        <w:instrText xml:space="preserve"> REF _Ref70321030 \r \h </w:instrText>
      </w:r>
      <w:r w:rsidR="0033319F" w:rsidRPr="000271B6">
        <w:rPr>
          <w:lang w:val="en-US"/>
        </w:rPr>
      </w:r>
      <w:r w:rsidR="0033319F" w:rsidRPr="000271B6">
        <w:rPr>
          <w:lang w:val="en-US"/>
        </w:rPr>
        <w:fldChar w:fldCharType="separate"/>
      </w:r>
      <w:r w:rsidR="0033319F" w:rsidRPr="000271B6">
        <w:rPr>
          <w:lang w:val="en-US"/>
        </w:rPr>
        <w:t>[4]</w:t>
      </w:r>
      <w:r w:rsidR="0033319F" w:rsidRPr="000271B6">
        <w:rPr>
          <w:lang w:val="en-US"/>
        </w:rPr>
        <w:fldChar w:fldCharType="end"/>
      </w:r>
      <w:r w:rsidR="0033319F" w:rsidRPr="000271B6">
        <w:rPr>
          <w:lang w:val="en-US"/>
        </w:rPr>
        <w:t xml:space="preserve">, a potential change of the Rel-16 specification to allow both sub-ranges in n77 for US operation would create two different </w:t>
      </w:r>
      <w:r w:rsidR="00042FF8" w:rsidRPr="000271B6">
        <w:rPr>
          <w:lang w:val="en-US"/>
        </w:rPr>
        <w:t xml:space="preserve">network types and also two different </w:t>
      </w:r>
      <w:r w:rsidR="0033319F" w:rsidRPr="000271B6">
        <w:rPr>
          <w:lang w:val="en-US"/>
        </w:rPr>
        <w:t>types of Rel-16 devices</w:t>
      </w:r>
      <w:r w:rsidR="00042FF8" w:rsidRPr="000271B6">
        <w:rPr>
          <w:lang w:val="en-US"/>
        </w:rPr>
        <w:t>:</w:t>
      </w:r>
      <w:r w:rsidR="0033319F" w:rsidRPr="000271B6">
        <w:rPr>
          <w:lang w:val="en-US"/>
        </w:rPr>
        <w:t xml:space="preserve"> </w:t>
      </w:r>
      <w:r w:rsidR="00042FF8" w:rsidRPr="000271B6">
        <w:rPr>
          <w:lang w:val="en-US"/>
        </w:rPr>
        <w:t xml:space="preserve">one type (legacy or Type 1) </w:t>
      </w:r>
      <w:r w:rsidR="0033319F" w:rsidRPr="000271B6">
        <w:rPr>
          <w:lang w:val="en-US"/>
        </w:rPr>
        <w:t xml:space="preserve">which could </w:t>
      </w:r>
      <w:r w:rsidR="00042FF8" w:rsidRPr="000271B6">
        <w:rPr>
          <w:lang w:val="en-US"/>
        </w:rPr>
        <w:t xml:space="preserve">not support 3.45-3.55 GHz operation, and another (Type 2) which does.  Figure 1 below illustrates these </w:t>
      </w:r>
      <w:r w:rsidR="000271B6" w:rsidRPr="000271B6">
        <w:rPr>
          <w:lang w:val="en-US"/>
        </w:rPr>
        <w:t>possibilities</w:t>
      </w:r>
      <w:r w:rsidR="00331783" w:rsidRPr="000271B6">
        <w:rPr>
          <w:lang w:val="en-US"/>
        </w:rPr>
        <w:t>, where sub-range A denotes the 3.7-3.98 GHz range, and sub-range B denotes the 3.45-3.55 GHz range</w:t>
      </w:r>
      <w:r w:rsidR="00042FF8" w:rsidRPr="000271B6">
        <w:rPr>
          <w:lang w:val="en-US"/>
        </w:rPr>
        <w:t>.</w:t>
      </w:r>
    </w:p>
    <w:p w14:paraId="036EFED2" w14:textId="6E1702D7" w:rsidR="0033319F" w:rsidRPr="000271B6" w:rsidRDefault="00042FF8" w:rsidP="00331783">
      <w:pPr>
        <w:jc w:val="center"/>
        <w:rPr>
          <w:lang w:val="en-US"/>
        </w:rPr>
      </w:pPr>
      <w:r w:rsidRPr="000271B6">
        <w:rPr>
          <w:noProof/>
          <w:lang w:val="en-US"/>
        </w:rPr>
        <w:drawing>
          <wp:inline distT="0" distB="0" distL="0" distR="0" wp14:anchorId="03D4F3BC" wp14:editId="4EE13416">
            <wp:extent cx="5029200" cy="242305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9200" cy="2423051"/>
                    </a:xfrm>
                    <a:prstGeom prst="rect">
                      <a:avLst/>
                    </a:prstGeom>
                  </pic:spPr>
                </pic:pic>
              </a:graphicData>
            </a:graphic>
          </wp:inline>
        </w:drawing>
      </w:r>
    </w:p>
    <w:p w14:paraId="2D9105E5" w14:textId="1C39CC7C" w:rsidR="0033319F" w:rsidRPr="000271B6" w:rsidRDefault="00331783" w:rsidP="00331783">
      <w:pPr>
        <w:pStyle w:val="FL"/>
        <w:rPr>
          <w:lang w:val="en-US"/>
        </w:rPr>
      </w:pPr>
      <w:r w:rsidRPr="000271B6">
        <w:rPr>
          <w:lang w:val="en-US"/>
        </w:rPr>
        <w:t xml:space="preserve">Figure 1: </w:t>
      </w:r>
      <w:r w:rsidR="00760957" w:rsidRPr="000271B6">
        <w:rPr>
          <w:lang w:val="en-US"/>
        </w:rPr>
        <w:t>Network and device types in band n77 operation</w:t>
      </w:r>
    </w:p>
    <w:p w14:paraId="0FBCBC76" w14:textId="471CF2D6" w:rsidR="00212866" w:rsidRPr="000271B6" w:rsidRDefault="00BF5DDC" w:rsidP="0033319F">
      <w:pPr>
        <w:rPr>
          <w:lang w:val="en-US"/>
        </w:rPr>
      </w:pPr>
      <w:r w:rsidRPr="000271B6">
        <w:rPr>
          <w:lang w:val="en-US"/>
        </w:rPr>
        <w:t xml:space="preserve">The potential for the existence of two types of UEs is based on our understanding of the FCC type approval process:  devices obtain FCC type approval based on regulatory compliance testing prior to the launch of the device, since the FCC has strict rules in place to prevent any emissions in the US which do not comply to FCC rules and regulations. Furthermore, it is also our </w:t>
      </w:r>
      <w:r w:rsidR="000271B6" w:rsidRPr="000271B6">
        <w:rPr>
          <w:lang w:val="en-US"/>
        </w:rPr>
        <w:t>understanding</w:t>
      </w:r>
      <w:r w:rsidRPr="000271B6">
        <w:rPr>
          <w:lang w:val="en-US"/>
        </w:rPr>
        <w:t xml:space="preserve"> that no process exists which allows devices to obtain type approval for an additional frequency range after</w:t>
      </w:r>
      <w:r w:rsidR="001B6C06" w:rsidRPr="000271B6">
        <w:rPr>
          <w:lang w:val="en-US"/>
        </w:rPr>
        <w:t xml:space="preserve"> device</w:t>
      </w:r>
      <w:r w:rsidRPr="000271B6">
        <w:rPr>
          <w:lang w:val="en-US"/>
        </w:rPr>
        <w:t xml:space="preserve"> launch.  In addition, even if such a process did exist, it is impossible for 3GPP to know whether all Type 1 UEs can</w:t>
      </w:r>
      <w:r w:rsidR="006D07D9">
        <w:rPr>
          <w:lang w:val="en-US"/>
        </w:rPr>
        <w:t xml:space="preserve"> all update their software to implement the new note and also to</w:t>
      </w:r>
      <w:r w:rsidRPr="000271B6">
        <w:rPr>
          <w:lang w:val="en-US"/>
        </w:rPr>
        <w:t xml:space="preserve"> undergo such a procedure to “become” Type 2 UEs; therefore, it is our understanding that the legacy UE issue is impossible to resolve by any means outside of 3GPP specification scope.</w:t>
      </w:r>
    </w:p>
    <w:p w14:paraId="301E3170" w14:textId="47D1CE84" w:rsidR="00BF5DDC" w:rsidRPr="000271B6" w:rsidRDefault="00BF5DDC" w:rsidP="00BF5DDC">
      <w:pPr>
        <w:pStyle w:val="TOC1"/>
        <w:rPr>
          <w:noProof/>
          <w:lang w:val="en-US"/>
        </w:rPr>
      </w:pPr>
      <w:r w:rsidRPr="000271B6">
        <w:rPr>
          <w:noProof/>
          <w:lang w:val="en-US"/>
        </w:rPr>
        <w:t>Proposal 2:</w:t>
      </w:r>
      <w:r w:rsidRPr="000271B6">
        <w:rPr>
          <w:noProof/>
          <w:lang w:val="en-US"/>
        </w:rPr>
        <w:tab/>
        <w:t>The legacy UE issue identified last meeting is not possible to resolve outside of 3GPP scope.</w:t>
      </w:r>
    </w:p>
    <w:p w14:paraId="7C2F67DD" w14:textId="1C15E9F2" w:rsidR="00331783" w:rsidRPr="000271B6" w:rsidRDefault="00BC3F76" w:rsidP="0033319F">
      <w:pPr>
        <w:rPr>
          <w:lang w:val="en-US"/>
        </w:rPr>
      </w:pPr>
      <w:r w:rsidRPr="000271B6">
        <w:rPr>
          <w:lang w:val="en-US"/>
        </w:rPr>
        <w:t>With these network and device types, we can envision the following potential configuration flows:</w:t>
      </w:r>
    </w:p>
    <w:p w14:paraId="5402537B" w14:textId="745579CF" w:rsidR="00BC3F76" w:rsidRPr="000271B6" w:rsidRDefault="007545D3" w:rsidP="00BC3F76">
      <w:pPr>
        <w:pStyle w:val="B1"/>
        <w:rPr>
          <w:lang w:val="en-US"/>
        </w:rPr>
      </w:pPr>
      <w:r w:rsidRPr="000271B6">
        <w:rPr>
          <w:lang w:val="en-US"/>
        </w:rPr>
        <w:t>Case 1:</w:t>
      </w:r>
      <w:r w:rsidR="00BC3F76" w:rsidRPr="000271B6">
        <w:rPr>
          <w:lang w:val="en-US"/>
        </w:rPr>
        <w:tab/>
        <w:t>UE Type 1 or 2 connects to Network Type 1</w:t>
      </w:r>
    </w:p>
    <w:p w14:paraId="0E2EF9A8" w14:textId="38810541" w:rsidR="00916F81" w:rsidRPr="000271B6" w:rsidRDefault="00916F81" w:rsidP="00916F81">
      <w:pPr>
        <w:pStyle w:val="B2"/>
        <w:rPr>
          <w:lang w:val="en-US"/>
        </w:rPr>
      </w:pPr>
      <w:r w:rsidRPr="000271B6">
        <w:rPr>
          <w:lang w:val="en-US"/>
        </w:rPr>
        <w:t>-</w:t>
      </w:r>
      <w:r w:rsidRPr="000271B6">
        <w:rPr>
          <w:lang w:val="en-US"/>
        </w:rPr>
        <w:tab/>
        <w:t>Initial access possible in sub-range A only</w:t>
      </w:r>
      <w:r w:rsidR="00A8011F" w:rsidRPr="000271B6">
        <w:rPr>
          <w:lang w:val="en-US"/>
        </w:rPr>
        <w:t xml:space="preserve"> (for </w:t>
      </w:r>
      <w:r w:rsidR="003918E1">
        <w:rPr>
          <w:lang w:val="en-US"/>
        </w:rPr>
        <w:t>both</w:t>
      </w:r>
      <w:r w:rsidR="00A8011F" w:rsidRPr="000271B6">
        <w:rPr>
          <w:lang w:val="en-US"/>
        </w:rPr>
        <w:t xml:space="preserve"> UE types)</w:t>
      </w:r>
    </w:p>
    <w:p w14:paraId="7DD56537" w14:textId="0549F85E" w:rsidR="00916F81" w:rsidRPr="000271B6" w:rsidRDefault="00916F81" w:rsidP="00916F81">
      <w:pPr>
        <w:pStyle w:val="B2"/>
        <w:rPr>
          <w:lang w:val="en-US"/>
        </w:rPr>
      </w:pPr>
      <w:r w:rsidRPr="000271B6">
        <w:rPr>
          <w:lang w:val="en-US"/>
        </w:rPr>
        <w:t>-</w:t>
      </w:r>
      <w:r w:rsidRPr="000271B6">
        <w:rPr>
          <w:lang w:val="en-US"/>
        </w:rPr>
        <w:tab/>
        <w:t>Handover to n77 possible in sub-range A only</w:t>
      </w:r>
      <w:r w:rsidR="00A8011F" w:rsidRPr="000271B6">
        <w:rPr>
          <w:lang w:val="en-US"/>
        </w:rPr>
        <w:t xml:space="preserve"> (for </w:t>
      </w:r>
      <w:r w:rsidR="003918E1">
        <w:rPr>
          <w:lang w:val="en-US"/>
        </w:rPr>
        <w:t>both</w:t>
      </w:r>
      <w:r w:rsidR="00A8011F" w:rsidRPr="000271B6">
        <w:rPr>
          <w:lang w:val="en-US"/>
        </w:rPr>
        <w:t xml:space="preserve"> UE types)</w:t>
      </w:r>
    </w:p>
    <w:p w14:paraId="6EF587EE" w14:textId="275A3E74" w:rsidR="00916F81" w:rsidRPr="000271B6" w:rsidRDefault="00916F81" w:rsidP="00916F81">
      <w:pPr>
        <w:pStyle w:val="B2"/>
        <w:rPr>
          <w:lang w:val="en-US"/>
        </w:rPr>
      </w:pPr>
      <w:r w:rsidRPr="000271B6">
        <w:rPr>
          <w:lang w:val="en-US"/>
        </w:rPr>
        <w:t>-</w:t>
      </w:r>
      <w:r w:rsidRPr="000271B6">
        <w:rPr>
          <w:lang w:val="en-US"/>
        </w:rPr>
        <w:tab/>
        <w:t xml:space="preserve">SCell/PsCell </w:t>
      </w:r>
      <w:r w:rsidR="000271B6" w:rsidRPr="000271B6">
        <w:rPr>
          <w:lang w:val="en-US"/>
        </w:rPr>
        <w:t>activation</w:t>
      </w:r>
      <w:r w:rsidRPr="000271B6">
        <w:rPr>
          <w:lang w:val="en-US"/>
        </w:rPr>
        <w:t xml:space="preserve"> within n77 </w:t>
      </w:r>
      <w:r w:rsidR="00DE10B6" w:rsidRPr="000271B6">
        <w:rPr>
          <w:lang w:val="en-US"/>
        </w:rPr>
        <w:t xml:space="preserve">is </w:t>
      </w:r>
      <w:r w:rsidRPr="000271B6">
        <w:rPr>
          <w:lang w:val="en-US"/>
        </w:rPr>
        <w:t>possible in sub-range A only</w:t>
      </w:r>
      <w:r w:rsidR="00A8011F" w:rsidRPr="000271B6">
        <w:rPr>
          <w:lang w:val="en-US"/>
        </w:rPr>
        <w:t xml:space="preserve"> (for </w:t>
      </w:r>
      <w:r w:rsidR="003918E1">
        <w:rPr>
          <w:lang w:val="en-US"/>
        </w:rPr>
        <w:t>both</w:t>
      </w:r>
      <w:r w:rsidR="00A8011F" w:rsidRPr="000271B6">
        <w:rPr>
          <w:lang w:val="en-US"/>
        </w:rPr>
        <w:t xml:space="preserve"> UE types)</w:t>
      </w:r>
    </w:p>
    <w:p w14:paraId="784971EB" w14:textId="75D4BC64" w:rsidR="00BC3F76" w:rsidRPr="000271B6" w:rsidRDefault="007545D3" w:rsidP="00BC3F76">
      <w:pPr>
        <w:pStyle w:val="B1"/>
        <w:rPr>
          <w:lang w:val="en-US"/>
        </w:rPr>
      </w:pPr>
      <w:r w:rsidRPr="000271B6">
        <w:rPr>
          <w:lang w:val="en-US"/>
        </w:rPr>
        <w:t>Case 2:</w:t>
      </w:r>
      <w:r w:rsidR="00BC3F76" w:rsidRPr="000271B6">
        <w:rPr>
          <w:lang w:val="en-US"/>
        </w:rPr>
        <w:tab/>
        <w:t>UE Type 1 connects to Network Type 2</w:t>
      </w:r>
    </w:p>
    <w:p w14:paraId="34ADB117" w14:textId="77777777" w:rsidR="00DE10B6" w:rsidRPr="000271B6" w:rsidRDefault="00916F81" w:rsidP="00916F81">
      <w:pPr>
        <w:pStyle w:val="B2"/>
        <w:rPr>
          <w:lang w:val="en-US"/>
        </w:rPr>
      </w:pPr>
      <w:r w:rsidRPr="000271B6">
        <w:rPr>
          <w:lang w:val="en-US"/>
        </w:rPr>
        <w:t>-</w:t>
      </w:r>
      <w:r w:rsidRPr="000271B6">
        <w:rPr>
          <w:lang w:val="en-US"/>
        </w:rPr>
        <w:tab/>
      </w:r>
      <w:r w:rsidR="00A8011F" w:rsidRPr="000271B6">
        <w:rPr>
          <w:lang w:val="en-US"/>
        </w:rPr>
        <w:t>Initial access possible in sub-range A only</w:t>
      </w:r>
    </w:p>
    <w:p w14:paraId="499FCC2D" w14:textId="0A3D2E39" w:rsidR="00DE10B6" w:rsidRPr="000271B6" w:rsidRDefault="00DE10B6" w:rsidP="00916F81">
      <w:pPr>
        <w:pStyle w:val="B2"/>
        <w:rPr>
          <w:lang w:val="en-US"/>
        </w:rPr>
      </w:pPr>
      <w:r w:rsidRPr="000271B6">
        <w:rPr>
          <w:lang w:val="en-US"/>
        </w:rPr>
        <w:lastRenderedPageBreak/>
        <w:t>-</w:t>
      </w:r>
      <w:r w:rsidRPr="000271B6">
        <w:rPr>
          <w:lang w:val="en-US"/>
        </w:rPr>
        <w:tab/>
      </w:r>
      <w:r w:rsidR="00080E83" w:rsidRPr="000271B6">
        <w:rPr>
          <w:lang w:val="en-US"/>
        </w:rPr>
        <w:t>Network can initiate h</w:t>
      </w:r>
      <w:r w:rsidRPr="000271B6">
        <w:rPr>
          <w:lang w:val="en-US"/>
        </w:rPr>
        <w:t>andover to n77 in both sub-ranges A &amp; B, but the network cannot know that this is a Type 1 UE, and handover to sub-range B fails with an unknown error condition to the network</w:t>
      </w:r>
    </w:p>
    <w:p w14:paraId="7D4C2C81" w14:textId="5B4315D4" w:rsidR="00916F81" w:rsidRPr="000271B6" w:rsidRDefault="00DE10B6" w:rsidP="00916F81">
      <w:pPr>
        <w:pStyle w:val="B2"/>
        <w:rPr>
          <w:lang w:val="en-US"/>
        </w:rPr>
      </w:pPr>
      <w:r w:rsidRPr="000271B6">
        <w:rPr>
          <w:lang w:val="en-US"/>
        </w:rPr>
        <w:t>-</w:t>
      </w:r>
      <w:r w:rsidRPr="000271B6">
        <w:rPr>
          <w:lang w:val="en-US"/>
        </w:rPr>
        <w:tab/>
      </w:r>
      <w:r w:rsidR="00080E83" w:rsidRPr="000271B6">
        <w:rPr>
          <w:lang w:val="en-US"/>
        </w:rPr>
        <w:t xml:space="preserve">Network can initiate </w:t>
      </w:r>
      <w:r w:rsidRPr="000271B6">
        <w:rPr>
          <w:lang w:val="en-US"/>
        </w:rPr>
        <w:t xml:space="preserve">SCell/PsCell </w:t>
      </w:r>
      <w:r w:rsidR="000271B6" w:rsidRPr="000271B6">
        <w:rPr>
          <w:lang w:val="en-US"/>
        </w:rPr>
        <w:t>activation</w:t>
      </w:r>
      <w:r w:rsidRPr="000271B6">
        <w:rPr>
          <w:lang w:val="en-US"/>
        </w:rPr>
        <w:t xml:space="preserve"> within n77 in both sub-ranges A &amp; B, but the network cannot know that this is a Type 1 UE, and the carrier activation procedure within sub-range B fails with an unknown error condition to the network</w:t>
      </w:r>
    </w:p>
    <w:p w14:paraId="5FDA9036" w14:textId="118B91C4" w:rsidR="00BC3F76" w:rsidRPr="000271B6" w:rsidRDefault="007545D3" w:rsidP="00BC3F76">
      <w:pPr>
        <w:pStyle w:val="B1"/>
        <w:rPr>
          <w:lang w:val="en-US"/>
        </w:rPr>
      </w:pPr>
      <w:r w:rsidRPr="000271B6">
        <w:rPr>
          <w:lang w:val="en-US"/>
        </w:rPr>
        <w:t>Case 3:</w:t>
      </w:r>
      <w:r w:rsidR="00BC3F76" w:rsidRPr="000271B6">
        <w:rPr>
          <w:lang w:val="en-US"/>
        </w:rPr>
        <w:tab/>
        <w:t>UE Type 2 connects to Network Type 2</w:t>
      </w:r>
    </w:p>
    <w:p w14:paraId="6F501BE1" w14:textId="7E6B1805" w:rsidR="00DE10B6" w:rsidRPr="000271B6" w:rsidRDefault="00DE10B6" w:rsidP="00DE10B6">
      <w:pPr>
        <w:pStyle w:val="B2"/>
        <w:rPr>
          <w:lang w:val="en-US"/>
        </w:rPr>
      </w:pPr>
      <w:r w:rsidRPr="000271B6">
        <w:rPr>
          <w:lang w:val="en-US"/>
        </w:rPr>
        <w:t>-</w:t>
      </w:r>
      <w:r w:rsidRPr="000271B6">
        <w:rPr>
          <w:lang w:val="en-US"/>
        </w:rPr>
        <w:tab/>
        <w:t>Initial access possible in both sub-ranges A &amp; B</w:t>
      </w:r>
    </w:p>
    <w:p w14:paraId="3B22DD32" w14:textId="5B900603" w:rsidR="00DE10B6" w:rsidRPr="000271B6" w:rsidRDefault="00DE10B6" w:rsidP="00DE10B6">
      <w:pPr>
        <w:pStyle w:val="B2"/>
        <w:rPr>
          <w:lang w:val="en-US"/>
        </w:rPr>
      </w:pPr>
      <w:r w:rsidRPr="000271B6">
        <w:rPr>
          <w:lang w:val="en-US"/>
        </w:rPr>
        <w:t>-</w:t>
      </w:r>
      <w:r w:rsidRPr="000271B6">
        <w:rPr>
          <w:lang w:val="en-US"/>
        </w:rPr>
        <w:tab/>
        <w:t>Handover to n77 possible in both sub-ranges A &amp; B</w:t>
      </w:r>
    </w:p>
    <w:p w14:paraId="438CA8DF" w14:textId="76A6DC53" w:rsidR="00DE10B6" w:rsidRPr="000271B6" w:rsidRDefault="00DE10B6" w:rsidP="00DE10B6">
      <w:pPr>
        <w:pStyle w:val="B2"/>
        <w:rPr>
          <w:lang w:val="en-US"/>
        </w:rPr>
      </w:pPr>
      <w:r w:rsidRPr="000271B6">
        <w:rPr>
          <w:lang w:val="en-US"/>
        </w:rPr>
        <w:t>-</w:t>
      </w:r>
      <w:r w:rsidRPr="000271B6">
        <w:rPr>
          <w:lang w:val="en-US"/>
        </w:rPr>
        <w:tab/>
        <w:t xml:space="preserve">SCell/PsCell </w:t>
      </w:r>
      <w:r w:rsidR="000271B6" w:rsidRPr="000271B6">
        <w:rPr>
          <w:lang w:val="en-US"/>
        </w:rPr>
        <w:t>activation</w:t>
      </w:r>
      <w:r w:rsidRPr="000271B6">
        <w:rPr>
          <w:lang w:val="en-US"/>
        </w:rPr>
        <w:t xml:space="preserve"> within n77 is possible in both sub-ranges A &amp; B</w:t>
      </w:r>
    </w:p>
    <w:p w14:paraId="7EB3D576" w14:textId="07D920C6" w:rsidR="00BC3F76" w:rsidRPr="000271B6" w:rsidRDefault="000271B6" w:rsidP="0033319F">
      <w:pPr>
        <w:rPr>
          <w:lang w:val="en-US"/>
        </w:rPr>
      </w:pPr>
      <w:r w:rsidRPr="000271B6">
        <w:rPr>
          <w:lang w:val="en-US"/>
        </w:rPr>
        <w:t>Thus, the primary goal of the potential solution is to allow the network to distinguish the two UE types in order to avoid the error conditions in handover and SCell/PsCell activation of the Type 1 UE in the Type 2 network.</w:t>
      </w:r>
    </w:p>
    <w:p w14:paraId="52DA1DE6" w14:textId="515FF2AA" w:rsidR="0097239F" w:rsidRPr="000271B6" w:rsidRDefault="0097239F" w:rsidP="0097239F">
      <w:pPr>
        <w:pStyle w:val="TOC1"/>
        <w:rPr>
          <w:noProof/>
          <w:lang w:val="en-US"/>
        </w:rPr>
      </w:pPr>
      <w:r w:rsidRPr="000271B6">
        <w:rPr>
          <w:noProof/>
          <w:lang w:val="en-US"/>
        </w:rPr>
        <w:t>Observation 1:</w:t>
      </w:r>
      <w:r w:rsidRPr="000271B6">
        <w:rPr>
          <w:noProof/>
          <w:lang w:val="en-US"/>
        </w:rPr>
        <w:tab/>
        <w:t>The goal of the potential solution to the legacy UE issue is to allow the network to distinguish the two UE types in order to avoid the error conditions in handover and SCell/PsCell activiation of the Type 1 UE in the a Type 2 network.</w:t>
      </w:r>
    </w:p>
    <w:p w14:paraId="0CD891CA" w14:textId="4E03559D" w:rsidR="002A546D" w:rsidRPr="000271B6" w:rsidRDefault="00EA1A31" w:rsidP="002A546D">
      <w:pPr>
        <w:rPr>
          <w:lang w:val="en-US"/>
        </w:rPr>
      </w:pPr>
      <w:r w:rsidRPr="000271B6">
        <w:rPr>
          <w:lang w:val="en-US"/>
        </w:rPr>
        <w:t xml:space="preserve">Before proposing our solution, </w:t>
      </w:r>
      <w:r w:rsidR="009D45F3">
        <w:rPr>
          <w:lang w:val="en-US"/>
        </w:rPr>
        <w:t>it is useful to review</w:t>
      </w:r>
      <w:r w:rsidR="002A546D" w:rsidRPr="000271B6">
        <w:rPr>
          <w:lang w:val="en-US"/>
        </w:rPr>
        <w:t xml:space="preserve"> the relevant background in network signaling.  3GPP uses the concept of network signaling (NS) </w:t>
      </w:r>
      <w:r w:rsidR="00C64604">
        <w:rPr>
          <w:lang w:val="en-US"/>
        </w:rPr>
        <w:t>values</w:t>
      </w:r>
      <w:r w:rsidR="002A546D" w:rsidRPr="000271B6">
        <w:rPr>
          <w:lang w:val="en-US"/>
        </w:rPr>
        <w:t xml:space="preserve"> to indicate to the UE which regional regulatory requirements apply to all UEs camped on a cell.  NS </w:t>
      </w:r>
      <w:r w:rsidR="00E47723">
        <w:rPr>
          <w:lang w:val="en-US"/>
        </w:rPr>
        <w:t>values</w:t>
      </w:r>
      <w:r w:rsidR="002A546D" w:rsidRPr="000271B6">
        <w:rPr>
          <w:lang w:val="en-US"/>
        </w:rPr>
        <w:t xml:space="preserve"> (8-bit bitmap per band) are broadcast to all UEs in a cell via the system information block (SIB).  The UE RF specification defines additional requirements which become applicable based on NS </w:t>
      </w:r>
      <w:r w:rsidR="00E2499B">
        <w:rPr>
          <w:lang w:val="en-US"/>
        </w:rPr>
        <w:t>values</w:t>
      </w:r>
      <w:r w:rsidR="002A546D" w:rsidRPr="000271B6">
        <w:rPr>
          <w:lang w:val="en-US"/>
        </w:rPr>
        <w:t xml:space="preserve">.  The UE is allowed to camp on a cell only if it supports both the band and </w:t>
      </w:r>
      <w:r w:rsidR="00D76F33">
        <w:rPr>
          <w:lang w:val="en-US"/>
        </w:rPr>
        <w:t xml:space="preserve">at least one of </w:t>
      </w:r>
      <w:r w:rsidR="002A546D" w:rsidRPr="000271B6">
        <w:rPr>
          <w:lang w:val="en-US"/>
        </w:rPr>
        <w:t xml:space="preserve">the </w:t>
      </w:r>
      <w:r w:rsidR="002057A2">
        <w:rPr>
          <w:lang w:val="en-US"/>
        </w:rPr>
        <w:t xml:space="preserve">applicable </w:t>
      </w:r>
      <w:r w:rsidR="002A546D" w:rsidRPr="000271B6">
        <w:rPr>
          <w:lang w:val="en-US"/>
        </w:rPr>
        <w:t xml:space="preserve">NS </w:t>
      </w:r>
      <w:r w:rsidR="003F2103">
        <w:rPr>
          <w:lang w:val="en-US"/>
        </w:rPr>
        <w:t>values</w:t>
      </w:r>
      <w:r w:rsidR="002A546D" w:rsidRPr="000271B6">
        <w:rPr>
          <w:lang w:val="en-US"/>
        </w:rPr>
        <w:t>.  Figure 2 below provides the relevant excerpts from TS38.331.</w:t>
      </w:r>
    </w:p>
    <w:p w14:paraId="29089206" w14:textId="465F40AA" w:rsidR="002A546D" w:rsidRPr="000271B6" w:rsidRDefault="00FF2BE7" w:rsidP="00FF2BE7">
      <w:pPr>
        <w:jc w:val="center"/>
        <w:rPr>
          <w:lang w:val="en-US"/>
        </w:rPr>
      </w:pPr>
      <w:r w:rsidRPr="000271B6">
        <w:rPr>
          <w:noProof/>
          <w:lang w:val="en-US"/>
        </w:rPr>
        <w:drawing>
          <wp:inline distT="0" distB="0" distL="0" distR="0" wp14:anchorId="696C11D4" wp14:editId="12E0AA70">
            <wp:extent cx="3657600" cy="3338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7600" cy="333854"/>
                    </a:xfrm>
                    <a:prstGeom prst="rect">
                      <a:avLst/>
                    </a:prstGeom>
                  </pic:spPr>
                </pic:pic>
              </a:graphicData>
            </a:graphic>
          </wp:inline>
        </w:drawing>
      </w:r>
      <w:r w:rsidRPr="000271B6">
        <w:rPr>
          <w:noProof/>
          <w:lang w:val="en-US"/>
        </w:rPr>
        <w:drawing>
          <wp:inline distT="0" distB="0" distL="0" distR="0" wp14:anchorId="54691219" wp14:editId="0A0BE275">
            <wp:extent cx="3657600" cy="80845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57600" cy="808458"/>
                    </a:xfrm>
                    <a:prstGeom prst="rect">
                      <a:avLst/>
                    </a:prstGeom>
                  </pic:spPr>
                </pic:pic>
              </a:graphicData>
            </a:graphic>
          </wp:inline>
        </w:drawing>
      </w:r>
      <w:r w:rsidRPr="000271B6">
        <w:rPr>
          <w:noProof/>
          <w:lang w:val="en-US"/>
        </w:rPr>
        <w:drawing>
          <wp:inline distT="0" distB="0" distL="0" distR="0" wp14:anchorId="57F3A81E" wp14:editId="37E4FDF4">
            <wp:extent cx="3657600" cy="549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549342"/>
                    </a:xfrm>
                    <a:prstGeom prst="rect">
                      <a:avLst/>
                    </a:prstGeom>
                  </pic:spPr>
                </pic:pic>
              </a:graphicData>
            </a:graphic>
          </wp:inline>
        </w:drawing>
      </w:r>
    </w:p>
    <w:p w14:paraId="25BEDE10" w14:textId="54DD89F0" w:rsidR="00FF2BE7" w:rsidRPr="000271B6" w:rsidRDefault="00FF2BE7" w:rsidP="00FF2BE7">
      <w:pPr>
        <w:pStyle w:val="FL"/>
        <w:rPr>
          <w:lang w:val="en-US"/>
        </w:rPr>
      </w:pPr>
      <w:r w:rsidRPr="000271B6">
        <w:rPr>
          <w:lang w:val="en-US"/>
        </w:rPr>
        <w:t>Figure 2: NS value signaling design</w:t>
      </w:r>
    </w:p>
    <w:p w14:paraId="6E3FCAF7" w14:textId="3E8BCC91" w:rsidR="002A546D" w:rsidRPr="000271B6" w:rsidRDefault="0080441B" w:rsidP="002A546D">
      <w:pPr>
        <w:rPr>
          <w:lang w:val="en-US"/>
        </w:rPr>
      </w:pPr>
      <w:r w:rsidRPr="000271B6">
        <w:rPr>
          <w:lang w:val="en-US"/>
        </w:rPr>
        <w:t xml:space="preserve">However, NS </w:t>
      </w:r>
      <w:r w:rsidR="00B2029A">
        <w:rPr>
          <w:lang w:val="en-US"/>
        </w:rPr>
        <w:t>values</w:t>
      </w:r>
      <w:r w:rsidRPr="000271B6">
        <w:rPr>
          <w:lang w:val="en-US"/>
        </w:rPr>
        <w:t xml:space="preserve"> only allow the network to indicate to all UEs which requirements are applicable to comply with regulation, and there exists only the mechanism of not allowing the UE to camp on a cell if it does not support a certain NS flag.</w:t>
      </w:r>
    </w:p>
    <w:p w14:paraId="3CB48F21" w14:textId="5377C35C" w:rsidR="0080441B" w:rsidRPr="000271B6" w:rsidRDefault="0080441B" w:rsidP="0080441B">
      <w:pPr>
        <w:rPr>
          <w:lang w:val="en-US"/>
        </w:rPr>
      </w:pPr>
      <w:r w:rsidRPr="000271B6">
        <w:rPr>
          <w:lang w:val="en-US"/>
        </w:rPr>
        <w:t>3GPP has also introduced the concept of modified MPR behavior to the specification.  For EN-DC configurations within band 41/n41 new bits were defined to specify which A-MPR requirements are applicable to a UE according to its MPR capability.  This signaling was further expanded to EN-DC configurations within band 71/n71.  Furthermore, in the FR2 specification</w:t>
      </w:r>
      <w:r w:rsidR="00E876FB">
        <w:rPr>
          <w:lang w:val="en-US"/>
        </w:rPr>
        <w:t>,</w:t>
      </w:r>
      <w:r w:rsidRPr="000271B6">
        <w:rPr>
          <w:lang w:val="en-US"/>
        </w:rPr>
        <w:t xml:space="preserve"> modified MPR behavior is used to distinguish the applicability of different A-MPR requirements to different UE types in bands n257, n258, n260, and n261.  Figure 3 below illustrates the modified MPR behavior requirements (from TS38.101-1 and TS38.101-2) and the associated signaling design (from TS38.331).</w:t>
      </w:r>
    </w:p>
    <w:p w14:paraId="1CE50EFE" w14:textId="0A5CC752" w:rsidR="0080441B" w:rsidRPr="000271B6" w:rsidRDefault="0080441B" w:rsidP="0080441B">
      <w:pPr>
        <w:jc w:val="center"/>
        <w:rPr>
          <w:lang w:val="en-US"/>
        </w:rPr>
      </w:pPr>
      <w:r w:rsidRPr="000271B6">
        <w:rPr>
          <w:noProof/>
          <w:lang w:val="en-US"/>
        </w:rPr>
        <w:lastRenderedPageBreak/>
        <w:drawing>
          <wp:inline distT="0" distB="0" distL="0" distR="0" wp14:anchorId="36D88050" wp14:editId="56FEB404">
            <wp:extent cx="3657600" cy="1573288"/>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1573288"/>
                    </a:xfrm>
                    <a:prstGeom prst="rect">
                      <a:avLst/>
                    </a:prstGeom>
                  </pic:spPr>
                </pic:pic>
              </a:graphicData>
            </a:graphic>
          </wp:inline>
        </w:drawing>
      </w:r>
      <w:r w:rsidRPr="000271B6">
        <w:rPr>
          <w:noProof/>
          <w:lang w:val="en-US"/>
        </w:rPr>
        <w:drawing>
          <wp:inline distT="0" distB="0" distL="0" distR="0" wp14:anchorId="10DBBED5" wp14:editId="4381CA65">
            <wp:extent cx="3657600" cy="15012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57600" cy="1501206"/>
                    </a:xfrm>
                    <a:prstGeom prst="rect">
                      <a:avLst/>
                    </a:prstGeom>
                  </pic:spPr>
                </pic:pic>
              </a:graphicData>
            </a:graphic>
          </wp:inline>
        </w:drawing>
      </w:r>
      <w:r w:rsidRPr="000271B6">
        <w:rPr>
          <w:noProof/>
          <w:lang w:val="en-US"/>
        </w:rPr>
        <w:drawing>
          <wp:inline distT="0" distB="0" distL="0" distR="0" wp14:anchorId="680781BB" wp14:editId="25CB8CEC">
            <wp:extent cx="3657600" cy="79100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7600" cy="791007"/>
                    </a:xfrm>
                    <a:prstGeom prst="rect">
                      <a:avLst/>
                    </a:prstGeom>
                  </pic:spPr>
                </pic:pic>
              </a:graphicData>
            </a:graphic>
          </wp:inline>
        </w:drawing>
      </w:r>
    </w:p>
    <w:p w14:paraId="69FF520B" w14:textId="682DFE48" w:rsidR="0080441B" w:rsidRPr="000271B6" w:rsidRDefault="0080441B" w:rsidP="0080441B">
      <w:pPr>
        <w:pStyle w:val="FL"/>
        <w:rPr>
          <w:lang w:val="en-US"/>
        </w:rPr>
      </w:pPr>
      <w:r w:rsidRPr="000271B6">
        <w:rPr>
          <w:lang w:val="en-US"/>
        </w:rPr>
        <w:t xml:space="preserve">Figure </w:t>
      </w:r>
      <w:r w:rsidR="00250061">
        <w:rPr>
          <w:lang w:val="en-US"/>
        </w:rPr>
        <w:t>3</w:t>
      </w:r>
      <w:r w:rsidRPr="000271B6">
        <w:rPr>
          <w:lang w:val="en-US"/>
        </w:rPr>
        <w:t>: Modified MPR behavior signaling design</w:t>
      </w:r>
    </w:p>
    <w:p w14:paraId="55C7F8A6" w14:textId="77777777" w:rsidR="006152F8" w:rsidRPr="000271B6" w:rsidRDefault="000F3D3E" w:rsidP="006152F8">
      <w:pPr>
        <w:rPr>
          <w:lang w:val="en-US"/>
        </w:rPr>
      </w:pPr>
      <w:r w:rsidRPr="000271B6">
        <w:rPr>
          <w:lang w:val="en-US"/>
        </w:rPr>
        <w:t>To summarize this background overview, we can find an excellent example of regional and global regulation changing for bands which are already specified in 3GPP.  The WRC-19 outcome and impact on band n258 requirements (and other FR2 bands) was resolved using a combination of NS values and modified MPR signaling.  This has introduced a robust specification-based approach for the network to correctly distinguish UE types based on which version of the regulation they support and to efficiently allocate UL resources to all UE types.</w:t>
      </w:r>
      <w:r w:rsidR="00344DD9" w:rsidRPr="000271B6">
        <w:rPr>
          <w:lang w:val="en-US"/>
        </w:rPr>
        <w:t xml:space="preserve">  When we consider the legacy issue related to the introduction of the 3.45-3.55 GHz range to band n77, we observe that the situation is very similar to the one already solved in FR2 following the WRC-19 outcome.</w:t>
      </w:r>
    </w:p>
    <w:p w14:paraId="27C230D5" w14:textId="75529716" w:rsidR="006152F8" w:rsidRPr="000271B6" w:rsidRDefault="006152F8" w:rsidP="006152F8">
      <w:pPr>
        <w:pStyle w:val="TOC1"/>
        <w:rPr>
          <w:noProof/>
          <w:lang w:val="en-US"/>
        </w:rPr>
      </w:pPr>
      <w:r w:rsidRPr="000271B6">
        <w:rPr>
          <w:noProof/>
          <w:lang w:val="en-US"/>
        </w:rPr>
        <w:t>Observation 2:</w:t>
      </w:r>
      <w:r w:rsidRPr="000271B6">
        <w:rPr>
          <w:noProof/>
          <w:lang w:val="en-US"/>
        </w:rPr>
        <w:tab/>
        <w:t>If regulatory requirements for a band change within a release, then there is no signaling mechanism available for the UE to indicate that it can comply with a certain subset of the regulation and, consequently, a subset of the 3GPP conformance requirements.</w:t>
      </w:r>
    </w:p>
    <w:p w14:paraId="4382BDFF" w14:textId="548E8994" w:rsidR="000F3D3E" w:rsidRPr="000271B6" w:rsidRDefault="006152F8" w:rsidP="006152F8">
      <w:pPr>
        <w:rPr>
          <w:lang w:val="en-US"/>
        </w:rPr>
      </w:pPr>
      <w:r w:rsidRPr="000271B6">
        <w:rPr>
          <w:lang w:val="en-US"/>
        </w:rPr>
        <w:t>Based on Observation 2, our understanding is that a mechanism is needed for the UE to make such information known to the network in order to avoid failures in UE configuration (such as handover or SCell/PsCell activation).</w:t>
      </w:r>
    </w:p>
    <w:p w14:paraId="7E906539" w14:textId="7599AFA5" w:rsidR="00F2699A" w:rsidRPr="000271B6" w:rsidRDefault="00F2699A" w:rsidP="00F2699A">
      <w:pPr>
        <w:pStyle w:val="TOC1"/>
        <w:rPr>
          <w:noProof/>
          <w:lang w:val="en-US"/>
        </w:rPr>
      </w:pPr>
      <w:r w:rsidRPr="000271B6">
        <w:rPr>
          <w:noProof/>
          <w:lang w:val="en-US"/>
        </w:rPr>
        <w:t>Proposal 3:</w:t>
      </w:r>
      <w:r w:rsidRPr="000271B6">
        <w:rPr>
          <w:noProof/>
          <w:lang w:val="en-US"/>
        </w:rPr>
        <w:tab/>
        <w:t>3GPP shall introduce a method for the specification to phase in regional regulatory changes associated with a 3GPP band and for UEs to indicate to the network with which regulation the UE is in compliance.</w:t>
      </w:r>
    </w:p>
    <w:p w14:paraId="49EBC95B" w14:textId="2C129CFA" w:rsidR="00517E70" w:rsidRDefault="00517E70" w:rsidP="000F3D3E">
      <w:pPr>
        <w:rPr>
          <w:lang w:val="en-US"/>
        </w:rPr>
      </w:pPr>
      <w:r>
        <w:rPr>
          <w:lang w:val="en-US"/>
        </w:rPr>
        <w:t>One solution to address Proposal 3 is the following (Solution 1):</w:t>
      </w:r>
    </w:p>
    <w:p w14:paraId="056ED234" w14:textId="31092C78" w:rsidR="00517E70" w:rsidRPr="000271B6" w:rsidRDefault="00517E70" w:rsidP="00517E70">
      <w:pPr>
        <w:pStyle w:val="B1"/>
        <w:rPr>
          <w:lang w:val="en-US"/>
        </w:rPr>
      </w:pPr>
      <w:r w:rsidRPr="000271B6">
        <w:rPr>
          <w:lang w:val="en-US"/>
        </w:rPr>
        <w:t>-</w:t>
      </w:r>
      <w:r w:rsidRPr="000271B6">
        <w:rPr>
          <w:lang w:val="en-US"/>
        </w:rPr>
        <w:tab/>
        <w:t xml:space="preserve">Define one </w:t>
      </w:r>
      <w:r w:rsidRPr="000271B6">
        <w:rPr>
          <w:i/>
          <w:lang w:val="en-US"/>
        </w:rPr>
        <w:t>modifiedMPR</w:t>
      </w:r>
      <w:r w:rsidRPr="000271B6">
        <w:rPr>
          <w:lang w:val="en-US"/>
        </w:rPr>
        <w:t xml:space="preserve"> bit</w:t>
      </w:r>
      <w:r w:rsidR="00217864">
        <w:rPr>
          <w:lang w:val="en-US"/>
        </w:rPr>
        <w:t xml:space="preserve"> corresponding to band n77</w:t>
      </w:r>
      <w:r>
        <w:rPr>
          <w:lang w:val="en-US"/>
        </w:rPr>
        <w:t xml:space="preserve">, such that </w:t>
      </w:r>
      <w:r w:rsidRPr="000271B6">
        <w:rPr>
          <w:lang w:val="en-US"/>
        </w:rPr>
        <w:t>if the UE sets the bit, then it implies that the UE supports the new sub-range 3.45-3.55 GHz, and if the UE does not set the bit, then it implies that the UE does not support the new sub-range (i.e. it only supports 3.7-3.98 GHz).</w:t>
      </w:r>
    </w:p>
    <w:p w14:paraId="7752C233" w14:textId="154FC89A" w:rsidR="00517E70" w:rsidRDefault="00517E70" w:rsidP="000F3D3E">
      <w:pPr>
        <w:rPr>
          <w:lang w:val="en-US"/>
        </w:rPr>
      </w:pPr>
      <w:r w:rsidRPr="000271B6">
        <w:rPr>
          <w:lang w:val="en-US"/>
        </w:rPr>
        <w:t xml:space="preserve">It is useful to note here that the meaning of UE supporting a particular frequency range in the US </w:t>
      </w:r>
      <w:r>
        <w:rPr>
          <w:lang w:val="en-US"/>
        </w:rPr>
        <w:t>implies</w:t>
      </w:r>
      <w:r w:rsidRPr="000271B6">
        <w:rPr>
          <w:lang w:val="en-US"/>
        </w:rPr>
        <w:t xml:space="preserve"> both </w:t>
      </w:r>
      <w:r>
        <w:rPr>
          <w:lang w:val="en-US"/>
        </w:rPr>
        <w:t xml:space="preserve">that </w:t>
      </w:r>
      <w:r w:rsidRPr="000271B6">
        <w:rPr>
          <w:lang w:val="en-US"/>
        </w:rPr>
        <w:t>the UE supports the corresponding band (i.e. n77), and the UE has received FCC type approval in the particular frequency range.</w:t>
      </w:r>
    </w:p>
    <w:p w14:paraId="436CADEF" w14:textId="3F6C1F62" w:rsidR="008C5161" w:rsidRPr="000271B6" w:rsidRDefault="00517E70" w:rsidP="000F3D3E">
      <w:pPr>
        <w:rPr>
          <w:lang w:val="en-US"/>
        </w:rPr>
      </w:pPr>
      <w:r>
        <w:rPr>
          <w:lang w:val="en-US"/>
        </w:rPr>
        <w:t>Another possible</w:t>
      </w:r>
      <w:r w:rsidRPr="000271B6">
        <w:rPr>
          <w:lang w:val="en-US"/>
        </w:rPr>
        <w:t xml:space="preserve"> </w:t>
      </w:r>
      <w:r w:rsidR="004D72C4" w:rsidRPr="000271B6">
        <w:rPr>
          <w:lang w:val="en-US"/>
        </w:rPr>
        <w:t>solution</w:t>
      </w:r>
      <w:r>
        <w:rPr>
          <w:lang w:val="en-US"/>
        </w:rPr>
        <w:t>, with a more explicit relationship to MPR,</w:t>
      </w:r>
      <w:r w:rsidR="004D72C4" w:rsidRPr="000271B6">
        <w:rPr>
          <w:lang w:val="en-US"/>
        </w:rPr>
        <w:t xml:space="preserve"> to address Proposal 3 is t</w:t>
      </w:r>
      <w:r w:rsidR="008C5161" w:rsidRPr="000271B6">
        <w:rPr>
          <w:lang w:val="en-US"/>
        </w:rPr>
        <w:t>he following</w:t>
      </w:r>
      <w:r>
        <w:rPr>
          <w:lang w:val="en-US"/>
        </w:rPr>
        <w:t xml:space="preserve"> (Solution 2)</w:t>
      </w:r>
      <w:r w:rsidR="008C5161" w:rsidRPr="000271B6">
        <w:rPr>
          <w:lang w:val="en-US"/>
        </w:rPr>
        <w:t>:</w:t>
      </w:r>
    </w:p>
    <w:p w14:paraId="442FD4D3" w14:textId="45881439" w:rsidR="00F47351" w:rsidRPr="000271B6" w:rsidRDefault="00F47351" w:rsidP="008C5161">
      <w:pPr>
        <w:pStyle w:val="B1"/>
        <w:rPr>
          <w:lang w:val="en-US"/>
        </w:rPr>
      </w:pPr>
      <w:r w:rsidRPr="000271B6">
        <w:rPr>
          <w:lang w:val="en-US"/>
        </w:rPr>
        <w:t>-</w:t>
      </w:r>
      <w:r w:rsidRPr="000271B6">
        <w:rPr>
          <w:lang w:val="en-US"/>
        </w:rPr>
        <w:tab/>
        <w:t>Both Type 1 and Type 2 networks shall signal NS_01 in band n77, thereby indicating to Type 1 UEs that the networks supports the already allowed 3.7-3.98 GHz range.</w:t>
      </w:r>
    </w:p>
    <w:p w14:paraId="1DA18792" w14:textId="714F6B0E" w:rsidR="008C5161" w:rsidRPr="000271B6" w:rsidRDefault="008C5161" w:rsidP="008C5161">
      <w:pPr>
        <w:pStyle w:val="B1"/>
        <w:rPr>
          <w:lang w:val="en-US"/>
        </w:rPr>
      </w:pPr>
      <w:r w:rsidRPr="000271B6">
        <w:rPr>
          <w:lang w:val="en-US"/>
        </w:rPr>
        <w:lastRenderedPageBreak/>
        <w:t>-</w:t>
      </w:r>
      <w:r w:rsidRPr="000271B6">
        <w:rPr>
          <w:lang w:val="en-US"/>
        </w:rPr>
        <w:tab/>
        <w:t>Define a new NS flag NS_X corresponding to</w:t>
      </w:r>
      <w:r w:rsidR="00FD6204" w:rsidRPr="000271B6">
        <w:rPr>
          <w:lang w:val="en-US"/>
        </w:rPr>
        <w:t xml:space="preserve"> the</w:t>
      </w:r>
      <w:r w:rsidRPr="000271B6">
        <w:rPr>
          <w:lang w:val="en-US"/>
        </w:rPr>
        <w:t xml:space="preserve"> sub-range 3.45-3.55 GHz.  The Type 2 network shall signal this flag to indicate that it supports the new sub-range</w:t>
      </w:r>
      <w:r w:rsidR="00C2282D" w:rsidRPr="000271B6">
        <w:rPr>
          <w:lang w:val="en-US"/>
        </w:rPr>
        <w:t xml:space="preserve"> in addition to the already allowed 3.7-3.98 GHz range</w:t>
      </w:r>
      <w:r w:rsidRPr="000271B6">
        <w:rPr>
          <w:lang w:val="en-US"/>
        </w:rPr>
        <w:t>.</w:t>
      </w:r>
    </w:p>
    <w:p w14:paraId="58DAA68F" w14:textId="7CF93027" w:rsidR="008C5161" w:rsidRPr="000271B6" w:rsidRDefault="008C5161" w:rsidP="008C5161">
      <w:pPr>
        <w:pStyle w:val="B1"/>
        <w:rPr>
          <w:lang w:val="en-US"/>
        </w:rPr>
      </w:pPr>
      <w:r w:rsidRPr="000271B6">
        <w:rPr>
          <w:lang w:val="en-US"/>
        </w:rPr>
        <w:t>-</w:t>
      </w:r>
      <w:r w:rsidRPr="000271B6">
        <w:rPr>
          <w:lang w:val="en-US"/>
        </w:rPr>
        <w:tab/>
        <w:t>Define 0 dB A-MPR for NS_X</w:t>
      </w:r>
    </w:p>
    <w:p w14:paraId="1DACE8B2" w14:textId="3236C64C" w:rsidR="00BC3F76" w:rsidRPr="000271B6" w:rsidRDefault="008C5161" w:rsidP="008C5161">
      <w:pPr>
        <w:pStyle w:val="B1"/>
        <w:rPr>
          <w:lang w:val="en-US"/>
        </w:rPr>
      </w:pPr>
      <w:r w:rsidRPr="000271B6">
        <w:rPr>
          <w:lang w:val="en-US"/>
        </w:rPr>
        <w:t>-</w:t>
      </w:r>
      <w:r w:rsidRPr="000271B6">
        <w:rPr>
          <w:lang w:val="en-US"/>
        </w:rPr>
        <w:tab/>
        <w:t>Define</w:t>
      </w:r>
      <w:r w:rsidR="00674D66" w:rsidRPr="000271B6">
        <w:rPr>
          <w:lang w:val="en-US"/>
        </w:rPr>
        <w:t xml:space="preserve"> one </w:t>
      </w:r>
      <w:r w:rsidRPr="000271B6">
        <w:rPr>
          <w:i/>
          <w:lang w:val="en-US"/>
        </w:rPr>
        <w:t>modifiedMPR</w:t>
      </w:r>
      <w:r w:rsidRPr="000271B6">
        <w:rPr>
          <w:lang w:val="en-US"/>
        </w:rPr>
        <w:t xml:space="preserve"> bit corresponding to </w:t>
      </w:r>
      <w:r w:rsidR="00E86C73">
        <w:rPr>
          <w:lang w:val="en-US"/>
        </w:rPr>
        <w:t xml:space="preserve">band n77 and </w:t>
      </w:r>
      <w:r w:rsidRPr="000271B6">
        <w:rPr>
          <w:lang w:val="en-US"/>
        </w:rPr>
        <w:t xml:space="preserve">NS_X, such that if the UE sets the bit, then it implies that the UE supports </w:t>
      </w:r>
      <w:r w:rsidR="00674D66" w:rsidRPr="000271B6">
        <w:rPr>
          <w:lang w:val="en-US"/>
        </w:rPr>
        <w:t>the new</w:t>
      </w:r>
      <w:r w:rsidRPr="000271B6">
        <w:rPr>
          <w:lang w:val="en-US"/>
        </w:rPr>
        <w:t xml:space="preserve"> sub-range</w:t>
      </w:r>
      <w:r w:rsidR="006E212E" w:rsidRPr="000271B6">
        <w:rPr>
          <w:lang w:val="en-US"/>
        </w:rPr>
        <w:t xml:space="preserve"> 3.45-3.55 GHz</w:t>
      </w:r>
      <w:r w:rsidRPr="000271B6">
        <w:rPr>
          <w:lang w:val="en-US"/>
        </w:rPr>
        <w:t xml:space="preserve">, and if the UE does not set the bit, then it implies that the UE does not support </w:t>
      </w:r>
      <w:r w:rsidR="00674D66" w:rsidRPr="000271B6">
        <w:rPr>
          <w:lang w:val="en-US"/>
        </w:rPr>
        <w:t>the new</w:t>
      </w:r>
      <w:r w:rsidRPr="000271B6">
        <w:rPr>
          <w:lang w:val="en-US"/>
        </w:rPr>
        <w:t xml:space="preserve"> sub-range</w:t>
      </w:r>
      <w:r w:rsidR="006E212E" w:rsidRPr="000271B6">
        <w:rPr>
          <w:lang w:val="en-US"/>
        </w:rPr>
        <w:t xml:space="preserve"> (i.e. it only supports 3.7-3.98 GHz)</w:t>
      </w:r>
      <w:r w:rsidR="00471413" w:rsidRPr="000271B6">
        <w:rPr>
          <w:lang w:val="en-US"/>
        </w:rPr>
        <w:t>.</w:t>
      </w:r>
    </w:p>
    <w:p w14:paraId="4A27D924" w14:textId="09432C60" w:rsidR="00012E4D" w:rsidRPr="000271B6" w:rsidRDefault="00517E70" w:rsidP="00A508A3">
      <w:pPr>
        <w:rPr>
          <w:lang w:val="en-US"/>
        </w:rPr>
      </w:pPr>
      <w:r>
        <w:rPr>
          <w:lang w:val="en-US"/>
        </w:rPr>
        <w:t>Both of t</w:t>
      </w:r>
      <w:r w:rsidRPr="000271B6">
        <w:rPr>
          <w:lang w:val="en-US"/>
        </w:rPr>
        <w:t xml:space="preserve">he </w:t>
      </w:r>
      <w:r w:rsidR="00A610B1" w:rsidRPr="000271B6">
        <w:rPr>
          <w:lang w:val="en-US"/>
        </w:rPr>
        <w:t>proposed solution</w:t>
      </w:r>
      <w:r>
        <w:rPr>
          <w:lang w:val="en-US"/>
        </w:rPr>
        <w:t>s</w:t>
      </w:r>
      <w:r w:rsidR="00A610B1" w:rsidRPr="000271B6">
        <w:rPr>
          <w:lang w:val="en-US"/>
        </w:rPr>
        <w:t xml:space="preserve"> </w:t>
      </w:r>
      <w:r>
        <w:rPr>
          <w:lang w:val="en-US"/>
        </w:rPr>
        <w:t>are</w:t>
      </w:r>
      <w:r w:rsidRPr="000271B6">
        <w:rPr>
          <w:lang w:val="en-US"/>
        </w:rPr>
        <w:t xml:space="preserve"> </w:t>
      </w:r>
      <w:r w:rsidR="00A610B1" w:rsidRPr="000271B6">
        <w:rPr>
          <w:lang w:val="en-US"/>
        </w:rPr>
        <w:t xml:space="preserve">fully backward compatible with the Rel-16 ASN:  no new signaling is created, since RAN2 has reserved </w:t>
      </w:r>
      <w:r w:rsidR="00A508A3">
        <w:rPr>
          <w:lang w:val="en-US"/>
        </w:rPr>
        <w:t>8</w:t>
      </w:r>
      <w:r w:rsidR="00A610B1" w:rsidRPr="000271B6">
        <w:rPr>
          <w:lang w:val="en-US"/>
        </w:rPr>
        <w:t xml:space="preserve"> bit</w:t>
      </w:r>
      <w:r w:rsidR="00A508A3">
        <w:rPr>
          <w:lang w:val="en-US"/>
        </w:rPr>
        <w:t>s</w:t>
      </w:r>
      <w:r w:rsidR="00A610B1" w:rsidRPr="000271B6">
        <w:rPr>
          <w:lang w:val="en-US"/>
        </w:rPr>
        <w:t xml:space="preserve"> for </w:t>
      </w:r>
      <w:r w:rsidR="00A508A3">
        <w:rPr>
          <w:lang w:val="en-US"/>
        </w:rPr>
        <w:t>NS values associated with band n77</w:t>
      </w:r>
      <w:r w:rsidR="00A610B1" w:rsidRPr="000271B6">
        <w:rPr>
          <w:lang w:val="en-US"/>
        </w:rPr>
        <w:t xml:space="preserve">, and </w:t>
      </w:r>
      <w:r w:rsidR="003C4ED1">
        <w:rPr>
          <w:lang w:val="en-US"/>
        </w:rPr>
        <w:t xml:space="preserve">since </w:t>
      </w:r>
      <w:r w:rsidR="00A610B1" w:rsidRPr="000271B6">
        <w:rPr>
          <w:lang w:val="en-US"/>
        </w:rPr>
        <w:t xml:space="preserve">RAN2 has also reserved </w:t>
      </w:r>
      <w:r w:rsidR="00824AF7">
        <w:rPr>
          <w:lang w:val="en-US"/>
        </w:rPr>
        <w:t>8</w:t>
      </w:r>
      <w:r w:rsidR="00A610B1" w:rsidRPr="000271B6">
        <w:rPr>
          <w:lang w:val="en-US"/>
        </w:rPr>
        <w:t xml:space="preserve"> bit</w:t>
      </w:r>
      <w:r w:rsidR="00824AF7">
        <w:rPr>
          <w:lang w:val="en-US"/>
        </w:rPr>
        <w:t>s</w:t>
      </w:r>
      <w:r w:rsidR="00A610B1" w:rsidRPr="000271B6">
        <w:rPr>
          <w:lang w:val="en-US"/>
        </w:rPr>
        <w:t xml:space="preserve"> for the </w:t>
      </w:r>
      <w:r w:rsidR="00A610B1" w:rsidRPr="000271B6">
        <w:rPr>
          <w:i/>
          <w:lang w:val="en-US"/>
        </w:rPr>
        <w:t>modifiedMPR</w:t>
      </w:r>
      <w:r w:rsidR="00A610B1" w:rsidRPr="000271B6">
        <w:rPr>
          <w:lang w:val="en-US"/>
        </w:rPr>
        <w:t xml:space="preserve"> </w:t>
      </w:r>
      <w:r w:rsidR="00824AF7">
        <w:rPr>
          <w:lang w:val="en-US"/>
        </w:rPr>
        <w:t>signaling</w:t>
      </w:r>
      <w:r w:rsidR="00A610B1" w:rsidRPr="000271B6">
        <w:rPr>
          <w:lang w:val="en-US"/>
        </w:rPr>
        <w:t xml:space="preserve"> corresponding to NS_X.</w:t>
      </w:r>
      <w:r w:rsidR="00682F22" w:rsidRPr="000271B6">
        <w:rPr>
          <w:lang w:val="en-US"/>
        </w:rPr>
        <w:t xml:space="preserve">  </w:t>
      </w:r>
      <w:r w:rsidR="00BB2433">
        <w:rPr>
          <w:lang w:val="en-US"/>
        </w:rPr>
        <w:t>This proposal simply maps one o</w:t>
      </w:r>
      <w:r w:rsidR="00CC1B7A">
        <w:rPr>
          <w:lang w:val="en-US"/>
        </w:rPr>
        <w:t>f the reserved bits to specific UE behavior.</w:t>
      </w:r>
      <w:r w:rsidR="00585A0F">
        <w:rPr>
          <w:lang w:val="en-US"/>
        </w:rPr>
        <w:t xml:space="preserve">  </w:t>
      </w:r>
      <w:r w:rsidR="00682F22" w:rsidRPr="000271B6">
        <w:rPr>
          <w:lang w:val="en-US"/>
        </w:rPr>
        <w:t>Furthermore, Rel-16 UEs which are already in the field do not need to interpret or implement any new signaling, since their default behavior allows the network to identify them as Type 1 UEs.</w:t>
      </w:r>
      <w:r w:rsidR="00FD6204" w:rsidRPr="000271B6">
        <w:rPr>
          <w:lang w:val="en-US"/>
        </w:rPr>
        <w:t xml:space="preserve">  Thus, only Type 2 UEs need to additionally implement the NS_X</w:t>
      </w:r>
      <w:r>
        <w:rPr>
          <w:lang w:val="en-US"/>
        </w:rPr>
        <w:t xml:space="preserve"> (in the case of Solution 2)</w:t>
      </w:r>
      <w:r w:rsidR="00FD6204" w:rsidRPr="000271B6">
        <w:rPr>
          <w:lang w:val="en-US"/>
        </w:rPr>
        <w:t xml:space="preserve"> and </w:t>
      </w:r>
      <w:r w:rsidR="00FD6204" w:rsidRPr="000271B6">
        <w:rPr>
          <w:i/>
          <w:lang w:val="en-US"/>
        </w:rPr>
        <w:t>modifiedMPR</w:t>
      </w:r>
      <w:r w:rsidR="00FD6204" w:rsidRPr="000271B6">
        <w:rPr>
          <w:lang w:val="en-US"/>
        </w:rPr>
        <w:t xml:space="preserve"> bit behavior</w:t>
      </w:r>
      <w:r>
        <w:rPr>
          <w:lang w:val="en-US"/>
        </w:rPr>
        <w:t xml:space="preserve"> (for both proposed solutions)</w:t>
      </w:r>
      <w:r w:rsidR="00FD6204" w:rsidRPr="000271B6">
        <w:rPr>
          <w:lang w:val="en-US"/>
        </w:rPr>
        <w:t>.  Since the FCC Auction 110 has not yet occurred, and the new FCC rules have only been available for 1 month, this change does not carry any risk to future implementations of UEs which support both sub-ranges in band n77 in the US.</w:t>
      </w:r>
    </w:p>
    <w:p w14:paraId="59277EFF" w14:textId="295804EA" w:rsidR="00FD6204" w:rsidRPr="000271B6" w:rsidRDefault="00FD6204" w:rsidP="00FD6204">
      <w:pPr>
        <w:pStyle w:val="TOC1"/>
        <w:rPr>
          <w:noProof/>
          <w:lang w:val="en-US"/>
        </w:rPr>
      </w:pPr>
      <w:r w:rsidRPr="000271B6">
        <w:rPr>
          <w:noProof/>
          <w:lang w:val="en-US"/>
        </w:rPr>
        <w:t>Proposal 4:</w:t>
      </w:r>
      <w:r w:rsidRPr="000271B6">
        <w:rPr>
          <w:noProof/>
          <w:lang w:val="en-US"/>
        </w:rPr>
        <w:tab/>
        <w:t xml:space="preserve">3GPP shall define one </w:t>
      </w:r>
      <w:r w:rsidRPr="000271B6">
        <w:rPr>
          <w:i/>
          <w:noProof/>
          <w:lang w:val="en-US"/>
        </w:rPr>
        <w:t>modifiedMPR</w:t>
      </w:r>
      <w:r w:rsidRPr="000271B6">
        <w:rPr>
          <w:noProof/>
          <w:lang w:val="en-US"/>
        </w:rPr>
        <w:t xml:space="preserve"> bit corresponding to </w:t>
      </w:r>
      <w:r w:rsidR="00B36631">
        <w:rPr>
          <w:noProof/>
          <w:lang w:val="en-US"/>
        </w:rPr>
        <w:t>band n77</w:t>
      </w:r>
      <w:r w:rsidRPr="000271B6">
        <w:rPr>
          <w:noProof/>
          <w:lang w:val="en-US"/>
        </w:rPr>
        <w:t>, such that if the UE sets the bit, then it implies that the UE supports the new sub-range 3.45-3.55 GHz, and if the UE does not set the bit, then it implies that the UE does not support the new sub-range (i.e. it only supports 3.7-3.98 GHz).</w:t>
      </w:r>
    </w:p>
    <w:p w14:paraId="4314DCDA" w14:textId="01A3C246" w:rsidR="005343EF" w:rsidRDefault="005343EF" w:rsidP="005343EF">
      <w:pPr>
        <w:rPr>
          <w:noProof/>
          <w:lang w:val="en-US"/>
        </w:rPr>
      </w:pPr>
      <w:r>
        <w:rPr>
          <w:noProof/>
          <w:lang w:val="en-US"/>
        </w:rPr>
        <w:t xml:space="preserve">It is useful to note that together with the proposed note, which restricts the US applicability of band n77 to only the allowed ranges of operation by US regulation (as captured in Proposal 1), the </w:t>
      </w:r>
      <w:r w:rsidRPr="005343EF">
        <w:rPr>
          <w:i/>
          <w:noProof/>
          <w:lang w:val="en-US"/>
        </w:rPr>
        <w:t>modifiedMPR</w:t>
      </w:r>
      <w:r>
        <w:rPr>
          <w:noProof/>
          <w:lang w:val="en-US"/>
        </w:rPr>
        <w:t xml:space="preserve"> bit solution can be easily adopted to any potential future changes in regulation associated with band n77.</w:t>
      </w:r>
    </w:p>
    <w:p w14:paraId="0260B94C" w14:textId="5E8A9F25" w:rsidR="005343EF" w:rsidRDefault="005343EF" w:rsidP="005343EF">
      <w:pPr>
        <w:rPr>
          <w:noProof/>
          <w:lang w:val="en-US"/>
        </w:rPr>
      </w:pPr>
      <w:r>
        <w:rPr>
          <w:noProof/>
          <w:lang w:val="en-US"/>
        </w:rPr>
        <w:t xml:space="preserve">Further noting that there might be a preference to associate the </w:t>
      </w:r>
      <w:r w:rsidRPr="005343EF">
        <w:rPr>
          <w:i/>
          <w:noProof/>
          <w:lang w:val="en-US"/>
        </w:rPr>
        <w:t>modifiedMPR</w:t>
      </w:r>
      <w:r>
        <w:rPr>
          <w:noProof/>
          <w:lang w:val="en-US"/>
        </w:rPr>
        <w:t xml:space="preserve"> bit with A-MPR requirements, a solution can be envisioned which attempts to maintain this connection.</w:t>
      </w:r>
    </w:p>
    <w:p w14:paraId="0859D683" w14:textId="681685B8" w:rsidR="00517E70" w:rsidRPr="000271B6" w:rsidRDefault="007D26DE" w:rsidP="00517E70">
      <w:pPr>
        <w:pStyle w:val="TOC1"/>
        <w:rPr>
          <w:noProof/>
          <w:lang w:val="en-US"/>
        </w:rPr>
      </w:pPr>
      <w:r>
        <w:rPr>
          <w:noProof/>
          <w:lang w:val="en-US"/>
        </w:rPr>
        <w:t>Observation 3</w:t>
      </w:r>
      <w:r w:rsidR="00517E70" w:rsidRPr="000271B6">
        <w:rPr>
          <w:noProof/>
          <w:lang w:val="en-US"/>
        </w:rPr>
        <w:t>:</w:t>
      </w:r>
      <w:r w:rsidR="00517E70" w:rsidRPr="000271B6">
        <w:rPr>
          <w:noProof/>
          <w:lang w:val="en-US"/>
        </w:rPr>
        <w:tab/>
      </w:r>
      <w:r w:rsidR="00517E70">
        <w:rPr>
          <w:noProof/>
          <w:lang w:val="en-US"/>
        </w:rPr>
        <w:t xml:space="preserve">If there is a preference to </w:t>
      </w:r>
      <w:r w:rsidR="00B36631">
        <w:rPr>
          <w:noProof/>
          <w:lang w:val="en-US"/>
        </w:rPr>
        <w:t xml:space="preserve">associate the </w:t>
      </w:r>
      <w:r w:rsidR="00B36631" w:rsidRPr="00B36631">
        <w:rPr>
          <w:i/>
          <w:noProof/>
          <w:lang w:val="en-US"/>
        </w:rPr>
        <w:t>modifiedMPR</w:t>
      </w:r>
      <w:r w:rsidR="00B36631">
        <w:rPr>
          <w:noProof/>
          <w:lang w:val="en-US"/>
        </w:rPr>
        <w:t xml:space="preserve"> bit with A-MPR requirements (which are set to 0 dB), then </w:t>
      </w:r>
      <w:r w:rsidR="00517E70">
        <w:rPr>
          <w:noProof/>
          <w:lang w:val="en-US"/>
        </w:rPr>
        <w:t xml:space="preserve">as an alternative to Proposal 4, </w:t>
      </w:r>
      <w:r w:rsidR="00517E70" w:rsidRPr="00517E70">
        <w:rPr>
          <w:noProof/>
          <w:lang w:val="en-US"/>
        </w:rPr>
        <w:t xml:space="preserve">3GPP shall define a new NS flag NS_X corresponding to the </w:t>
      </w:r>
      <w:r w:rsidR="009D481C">
        <w:rPr>
          <w:noProof/>
          <w:lang w:val="en-US"/>
        </w:rPr>
        <w:t xml:space="preserve">band n77 </w:t>
      </w:r>
      <w:r w:rsidR="00517E70" w:rsidRPr="00517E70">
        <w:rPr>
          <w:noProof/>
          <w:lang w:val="en-US"/>
        </w:rPr>
        <w:t xml:space="preserve">sub-range </w:t>
      </w:r>
      <w:r w:rsidR="009D481C">
        <w:rPr>
          <w:noProof/>
          <w:lang w:val="en-US"/>
        </w:rPr>
        <w:t xml:space="preserve">of </w:t>
      </w:r>
      <w:r w:rsidR="00517E70" w:rsidRPr="00517E70">
        <w:rPr>
          <w:noProof/>
          <w:lang w:val="en-US"/>
        </w:rPr>
        <w:t>3.45-3.55 GHz</w:t>
      </w:r>
      <w:r w:rsidR="009D481C">
        <w:rPr>
          <w:noProof/>
          <w:lang w:val="en-US"/>
        </w:rPr>
        <w:t>, 0 dB A-MPR,</w:t>
      </w:r>
      <w:r w:rsidR="00517E70" w:rsidRPr="00517E70">
        <w:rPr>
          <w:noProof/>
          <w:lang w:val="en-US"/>
        </w:rPr>
        <w:t xml:space="preserve"> and one </w:t>
      </w:r>
      <w:r w:rsidR="00517E70" w:rsidRPr="00815718">
        <w:rPr>
          <w:i/>
          <w:noProof/>
          <w:lang w:val="en-US"/>
        </w:rPr>
        <w:t>modifiedMPR</w:t>
      </w:r>
      <w:r w:rsidR="00517E70" w:rsidRPr="00517E70">
        <w:rPr>
          <w:noProof/>
          <w:lang w:val="en-US"/>
        </w:rPr>
        <w:t xml:space="preserve"> bit corresponding to NS_X, such that if the UE sets the bit, then it implies that the UE supports the new sub-range 3.45-3.55 GHz, and if the UE does not set the bit, then it implies that the UE does not support the new sub-range (i.e. it only supports 3.7-3.98 GHz)</w:t>
      </w:r>
      <w:r w:rsidR="00517E70">
        <w:rPr>
          <w:noProof/>
          <w:lang w:val="en-US"/>
        </w:rPr>
        <w:t>.</w:t>
      </w:r>
    </w:p>
    <w:p w14:paraId="2E999890" w14:textId="698BA203" w:rsidR="006E212E" w:rsidRDefault="007D26DE" w:rsidP="0033319F">
      <w:pPr>
        <w:rPr>
          <w:lang w:val="en-US"/>
        </w:rPr>
      </w:pPr>
      <w:r>
        <w:rPr>
          <w:lang w:val="en-US"/>
        </w:rPr>
        <w:t xml:space="preserve">We note that the approach outlined in Observation 3 is not preferred and is included for completeness.  </w:t>
      </w:r>
      <w:r w:rsidR="0092177A" w:rsidRPr="000271B6">
        <w:rPr>
          <w:lang w:val="en-US"/>
        </w:rPr>
        <w:t xml:space="preserve">A corresponding CR to TS38.101-1 which implements </w:t>
      </w:r>
      <w:r w:rsidR="002713E6">
        <w:rPr>
          <w:lang w:val="en-US"/>
        </w:rPr>
        <w:t>the simpler scheme (</w:t>
      </w:r>
      <w:r w:rsidR="00517E70">
        <w:rPr>
          <w:lang w:val="en-US"/>
        </w:rPr>
        <w:t>Solution 1</w:t>
      </w:r>
      <w:r w:rsidR="002713E6">
        <w:rPr>
          <w:lang w:val="en-US"/>
        </w:rPr>
        <w:t>)</w:t>
      </w:r>
      <w:r w:rsidR="0092177A" w:rsidRPr="000271B6">
        <w:rPr>
          <w:lang w:val="en-US"/>
        </w:rPr>
        <w:t xml:space="preserve"> is available in </w:t>
      </w:r>
      <w:r w:rsidR="0092177A" w:rsidRPr="000271B6">
        <w:rPr>
          <w:lang w:val="en-US"/>
        </w:rPr>
        <w:fldChar w:fldCharType="begin"/>
      </w:r>
      <w:r w:rsidR="0092177A" w:rsidRPr="000271B6">
        <w:rPr>
          <w:lang w:val="en-US"/>
        </w:rPr>
        <w:instrText xml:space="preserve"> REF _Ref70325736 \r \h </w:instrText>
      </w:r>
      <w:r w:rsidR="0092177A" w:rsidRPr="000271B6">
        <w:rPr>
          <w:lang w:val="en-US"/>
        </w:rPr>
      </w:r>
      <w:r w:rsidR="0092177A" w:rsidRPr="000271B6">
        <w:rPr>
          <w:lang w:val="en-US"/>
        </w:rPr>
        <w:fldChar w:fldCharType="separate"/>
      </w:r>
      <w:r w:rsidR="0092177A" w:rsidRPr="000271B6">
        <w:rPr>
          <w:lang w:val="en-US"/>
        </w:rPr>
        <w:t>[6]</w:t>
      </w:r>
      <w:r w:rsidR="0092177A" w:rsidRPr="000271B6">
        <w:rPr>
          <w:lang w:val="en-US"/>
        </w:rPr>
        <w:fldChar w:fldCharType="end"/>
      </w:r>
      <w:r w:rsidR="0092177A" w:rsidRPr="000271B6">
        <w:rPr>
          <w:lang w:val="en-US"/>
        </w:rPr>
        <w:t>.</w:t>
      </w:r>
    </w:p>
    <w:p w14:paraId="70C7E9B7" w14:textId="50F44C38" w:rsidR="00DD6240" w:rsidRDefault="00DD6240" w:rsidP="0033319F">
      <w:pPr>
        <w:rPr>
          <w:lang w:val="en-US"/>
        </w:rPr>
      </w:pPr>
      <w:r>
        <w:rPr>
          <w:lang w:val="en-US"/>
        </w:rPr>
        <w:t xml:space="preserve">As a final consideration of this solution, we examine the history of band n77 in the context of US operation.  The band was originally introduced in Rel-15 NR together with the original package of NR bands.  At the time of the band’s introduction, US regulation did not allow any operation in the frequency range from 3.3 – 4.2 GHz, except the range of 3.55 – 3.7 GHz, which at the time was specified as the LTE Band 48.  In April 2020 discussions commenced to introduce the 3.7 – 3.98 GHz range to the Rel-16 specification, and the corresponding CR was agreed in May 2020 </w:t>
      </w:r>
      <w:r>
        <w:rPr>
          <w:lang w:val="en-US"/>
        </w:rPr>
        <w:fldChar w:fldCharType="begin"/>
      </w:r>
      <w:r>
        <w:rPr>
          <w:lang w:val="en-US"/>
        </w:rPr>
        <w:instrText xml:space="preserve"> REF _Ref70530375 \r \h </w:instrText>
      </w:r>
      <w:r>
        <w:rPr>
          <w:lang w:val="en-US"/>
        </w:rPr>
      </w:r>
      <w:r>
        <w:rPr>
          <w:lang w:val="en-US"/>
        </w:rPr>
        <w:fldChar w:fldCharType="separate"/>
      </w:r>
      <w:r>
        <w:rPr>
          <w:lang w:val="en-US"/>
        </w:rPr>
        <w:t>[7]</w:t>
      </w:r>
      <w:r>
        <w:rPr>
          <w:lang w:val="en-US"/>
        </w:rPr>
        <w:fldChar w:fldCharType="end"/>
      </w:r>
      <w:r>
        <w:rPr>
          <w:lang w:val="en-US"/>
        </w:rPr>
        <w:t>.  This CR not only introduced the note on the restricted frequency range of operation in the US but also the corresponding UE coexistence requirements.  Assuming RAN4 concludes the above discussion and agrees to introduce the frequency range of 3.45- 3.55 GHz to band n77 operation in the US, a UE can potentially support three different versions of band n77 requirements.  Since a UE of an earlier release can, in principle, support a band introduced in a later release, we can have the following possib</w:t>
      </w:r>
      <w:r w:rsidR="00EE1D43">
        <w:rPr>
          <w:lang w:val="en-US"/>
        </w:rPr>
        <w:t>i</w:t>
      </w:r>
      <w:r>
        <w:rPr>
          <w:lang w:val="en-US"/>
        </w:rPr>
        <w:t>lities:</w:t>
      </w:r>
    </w:p>
    <w:p w14:paraId="6BE22051" w14:textId="7EF5C99A" w:rsidR="00074895" w:rsidRDefault="00DD6240" w:rsidP="00DD6240">
      <w:pPr>
        <w:pStyle w:val="B1"/>
        <w:rPr>
          <w:lang w:val="en-US"/>
        </w:rPr>
      </w:pPr>
      <w:r>
        <w:rPr>
          <w:lang w:val="en-US"/>
        </w:rPr>
        <w:t>-</w:t>
      </w:r>
      <w:r>
        <w:rPr>
          <w:lang w:val="en-US"/>
        </w:rPr>
        <w:tab/>
      </w:r>
      <w:r w:rsidR="009E2A9D">
        <w:rPr>
          <w:lang w:val="en-US"/>
        </w:rPr>
        <w:t xml:space="preserve">Rel-15 UE </w:t>
      </w:r>
      <w:r w:rsidR="00074895">
        <w:rPr>
          <w:lang w:val="en-US"/>
        </w:rPr>
        <w:t>implementing</w:t>
      </w:r>
      <w:r w:rsidR="009E2A9D">
        <w:rPr>
          <w:lang w:val="en-US"/>
        </w:rPr>
        <w:t xml:space="preserve"> </w:t>
      </w:r>
      <w:r w:rsidR="00074895">
        <w:rPr>
          <w:lang w:val="en-US"/>
        </w:rPr>
        <w:t xml:space="preserve">the </w:t>
      </w:r>
      <w:r w:rsidR="009E2A9D">
        <w:rPr>
          <w:lang w:val="en-US"/>
        </w:rPr>
        <w:t>Rel-15 version of band n77 =&gt; this UE</w:t>
      </w:r>
      <w:r w:rsidR="00074895">
        <w:rPr>
          <w:lang w:val="en-US"/>
        </w:rPr>
        <w:t xml:space="preserve"> is not allowed to operate in the US band n77</w:t>
      </w:r>
    </w:p>
    <w:p w14:paraId="4DDBDB33" w14:textId="111FBC5A" w:rsidR="00DD6240" w:rsidRDefault="00074895" w:rsidP="00DD6240">
      <w:pPr>
        <w:pStyle w:val="B1"/>
        <w:rPr>
          <w:lang w:val="en-US"/>
        </w:rPr>
      </w:pPr>
      <w:r>
        <w:rPr>
          <w:lang w:val="en-US"/>
        </w:rPr>
        <w:t>-</w:t>
      </w:r>
      <w:r>
        <w:rPr>
          <w:lang w:val="en-US"/>
        </w:rPr>
        <w:tab/>
        <w:t>Rel-15 UE implementing the Rel-16 (May 2020) version of band n77 =&gt; this is the “legacy UE” described in our paper</w:t>
      </w:r>
    </w:p>
    <w:p w14:paraId="0989823E" w14:textId="4F7E7E9F" w:rsidR="00074895" w:rsidRDefault="00074895" w:rsidP="00DD6240">
      <w:pPr>
        <w:pStyle w:val="B1"/>
        <w:rPr>
          <w:lang w:val="en-US"/>
        </w:rPr>
      </w:pPr>
      <w:r>
        <w:rPr>
          <w:lang w:val="en-US"/>
        </w:rPr>
        <w:t>-</w:t>
      </w:r>
      <w:r>
        <w:rPr>
          <w:lang w:val="en-US"/>
        </w:rPr>
        <w:tab/>
        <w:t>Rel-15 UE implementing the Rel-16 (May 2021) version of band n77 =&gt; this is the UE which supports both sub-ranges of band n77</w:t>
      </w:r>
    </w:p>
    <w:p w14:paraId="197B6E8C" w14:textId="37F09AB9" w:rsidR="00074895" w:rsidRDefault="00074895" w:rsidP="0033319F">
      <w:pPr>
        <w:rPr>
          <w:lang w:val="en-US"/>
        </w:rPr>
      </w:pPr>
      <w:r>
        <w:rPr>
          <w:lang w:val="en-US"/>
        </w:rPr>
        <w:t xml:space="preserve">We observe that there is actually no explicit differentiation, in terms of signaling, between the UE which supports the Rel-15 version of band n77 and the Rel-16 (May 2020) version.  Since, according to Proposal 4, the absence of the </w:t>
      </w:r>
      <w:r w:rsidRPr="00074895">
        <w:rPr>
          <w:i/>
          <w:lang w:val="en-US"/>
        </w:rPr>
        <w:t>modifiedMPR</w:t>
      </w:r>
      <w:r>
        <w:rPr>
          <w:lang w:val="en-US"/>
        </w:rPr>
        <w:t xml:space="preserve"> bit associated with band n77 implies that the UE supports only the 3.7-3.98 GHz range.  Thus, it may be </w:t>
      </w:r>
      <w:r>
        <w:rPr>
          <w:lang w:val="en-US"/>
        </w:rPr>
        <w:lastRenderedPageBreak/>
        <w:t xml:space="preserve">useful to discuss whether an additional </w:t>
      </w:r>
      <w:r w:rsidRPr="00074895">
        <w:rPr>
          <w:i/>
          <w:lang w:val="en-US"/>
        </w:rPr>
        <w:t>modifiedMPR</w:t>
      </w:r>
      <w:r>
        <w:rPr>
          <w:lang w:val="en-US"/>
        </w:rPr>
        <w:t xml:space="preserve"> bit needs to be added to explicitly indicate to the network that the UE supports the 3.7-3.98 GHz frequency range in band n77.  Similiarly </w:t>
      </w:r>
      <w:r w:rsidR="00815718">
        <w:rPr>
          <w:lang w:val="en-US"/>
        </w:rPr>
        <w:t>to</w:t>
      </w:r>
      <w:r>
        <w:rPr>
          <w:lang w:val="en-US"/>
        </w:rPr>
        <w:t xml:space="preserve"> the earlier proposals in this paper, this change would also not </w:t>
      </w:r>
      <w:r w:rsidR="00815718">
        <w:rPr>
          <w:lang w:val="en-US"/>
        </w:rPr>
        <w:t xml:space="preserve">introduce a backward compatibility issue, since the RRC signaling already contains enough reserved bits for </w:t>
      </w:r>
      <w:r w:rsidR="00815718" w:rsidRPr="00815718">
        <w:rPr>
          <w:i/>
          <w:lang w:val="en-US"/>
        </w:rPr>
        <w:t>modifiedMPR</w:t>
      </w:r>
      <w:r w:rsidR="00815718">
        <w:rPr>
          <w:lang w:val="en-US"/>
        </w:rPr>
        <w:t xml:space="preserve"> signaling, and legacy UEs in the field can be updated over the air to implement this signaling.</w:t>
      </w:r>
    </w:p>
    <w:p w14:paraId="334B9E39" w14:textId="0CC55589" w:rsidR="00815718" w:rsidRPr="000271B6" w:rsidRDefault="00815718" w:rsidP="00815718">
      <w:pPr>
        <w:pStyle w:val="TOC1"/>
        <w:rPr>
          <w:noProof/>
          <w:lang w:val="en-US"/>
        </w:rPr>
      </w:pPr>
      <w:r w:rsidRPr="000271B6">
        <w:rPr>
          <w:noProof/>
          <w:lang w:val="en-US"/>
        </w:rPr>
        <w:t xml:space="preserve">Proposal </w:t>
      </w:r>
      <w:r w:rsidR="007D26DE">
        <w:rPr>
          <w:noProof/>
          <w:lang w:val="en-US"/>
        </w:rPr>
        <w:t>5</w:t>
      </w:r>
      <w:r w:rsidRPr="000271B6">
        <w:rPr>
          <w:noProof/>
          <w:lang w:val="en-US"/>
        </w:rPr>
        <w:t>:</w:t>
      </w:r>
      <w:r w:rsidRPr="000271B6">
        <w:rPr>
          <w:noProof/>
          <w:lang w:val="en-US"/>
        </w:rPr>
        <w:tab/>
        <w:t xml:space="preserve">3GPP </w:t>
      </w:r>
      <w:r>
        <w:rPr>
          <w:noProof/>
          <w:lang w:val="en-US"/>
        </w:rPr>
        <w:t xml:space="preserve">should discuss further whether explicit indication, via another </w:t>
      </w:r>
      <w:r w:rsidRPr="00A57C71">
        <w:rPr>
          <w:i/>
          <w:noProof/>
          <w:lang w:val="en-US"/>
        </w:rPr>
        <w:t>modifiedMPR</w:t>
      </w:r>
      <w:r>
        <w:rPr>
          <w:noProof/>
          <w:lang w:val="en-US"/>
        </w:rPr>
        <w:t xml:space="preserve"> behavior bit, is needed to distinguish UEs which implement the Rel-15 version of band n77 requirements from UEs which implement the Rel-16 (May 2020) version of band n77 requirements.</w:t>
      </w:r>
    </w:p>
    <w:p w14:paraId="34C99636" w14:textId="608193FF" w:rsidR="008E7986" w:rsidRPr="000271B6" w:rsidRDefault="00757123" w:rsidP="008E7986">
      <w:pPr>
        <w:pStyle w:val="Heading1"/>
        <w:rPr>
          <w:lang w:val="en-US"/>
        </w:rPr>
      </w:pPr>
      <w:r w:rsidRPr="000271B6">
        <w:rPr>
          <w:lang w:val="en-US"/>
        </w:rPr>
        <w:t>3</w:t>
      </w:r>
      <w:r w:rsidR="008E7986" w:rsidRPr="000271B6">
        <w:rPr>
          <w:lang w:val="en-US"/>
        </w:rPr>
        <w:tab/>
        <w:t>Conclusions</w:t>
      </w:r>
    </w:p>
    <w:p w14:paraId="001A58A1" w14:textId="744204D5" w:rsidR="00E72324" w:rsidRPr="000271B6" w:rsidRDefault="009F6F20" w:rsidP="00E72324">
      <w:pPr>
        <w:rPr>
          <w:lang w:val="en-US"/>
        </w:rPr>
      </w:pPr>
      <w:r w:rsidRPr="000271B6">
        <w:rPr>
          <w:lang w:val="en-US"/>
        </w:rPr>
        <w:t>We draw the following conclusions:</w:t>
      </w:r>
      <w:r w:rsidR="00E72324" w:rsidRPr="000271B6">
        <w:rPr>
          <w:lang w:val="en-US"/>
        </w:rPr>
        <w:t xml:space="preserve"> </w:t>
      </w:r>
    </w:p>
    <w:p w14:paraId="4F4F2902" w14:textId="77777777" w:rsidR="00A21135" w:rsidRPr="000271B6" w:rsidRDefault="00A21135" w:rsidP="00A21135">
      <w:pPr>
        <w:pStyle w:val="TOC1"/>
        <w:rPr>
          <w:noProof/>
          <w:lang w:val="en-US"/>
        </w:rPr>
      </w:pPr>
      <w:r w:rsidRPr="000271B6">
        <w:rPr>
          <w:noProof/>
          <w:lang w:val="en-US"/>
        </w:rPr>
        <w:t>Proposal 1:</w:t>
      </w:r>
      <w:r w:rsidRPr="000271B6">
        <w:rPr>
          <w:noProof/>
          <w:lang w:val="en-US"/>
        </w:rPr>
        <w:tab/>
        <w:t>RAN4 shall adopt the band n77 note to read “In the USA this band is restricted to 3450 – 3550 MHz and 3700 – 3980 MHz.”</w:t>
      </w:r>
    </w:p>
    <w:p w14:paraId="316F3A89" w14:textId="77777777" w:rsidR="00A21135" w:rsidRPr="000271B6" w:rsidRDefault="00A21135" w:rsidP="00A21135">
      <w:pPr>
        <w:pStyle w:val="TOC1"/>
        <w:rPr>
          <w:noProof/>
          <w:lang w:val="en-US"/>
        </w:rPr>
      </w:pPr>
      <w:r w:rsidRPr="000271B6">
        <w:rPr>
          <w:noProof/>
          <w:lang w:val="en-US"/>
        </w:rPr>
        <w:t>Proposal 2:</w:t>
      </w:r>
      <w:r w:rsidRPr="000271B6">
        <w:rPr>
          <w:noProof/>
          <w:lang w:val="en-US"/>
        </w:rPr>
        <w:tab/>
        <w:t>The legacy UE issue identified last meeting is not possible to resolve outside of 3GPP scope.</w:t>
      </w:r>
    </w:p>
    <w:p w14:paraId="1EF377CB" w14:textId="77777777" w:rsidR="00A21135" w:rsidRPr="000271B6" w:rsidRDefault="00A21135" w:rsidP="00A21135">
      <w:pPr>
        <w:pStyle w:val="TOC1"/>
        <w:rPr>
          <w:noProof/>
          <w:lang w:val="en-US"/>
        </w:rPr>
      </w:pPr>
      <w:r w:rsidRPr="000271B6">
        <w:rPr>
          <w:noProof/>
          <w:lang w:val="en-US"/>
        </w:rPr>
        <w:t>Proposal 3:</w:t>
      </w:r>
      <w:r w:rsidRPr="000271B6">
        <w:rPr>
          <w:noProof/>
          <w:lang w:val="en-US"/>
        </w:rPr>
        <w:tab/>
        <w:t>3GPP shall introduce a method for the specification to phase in regional regulatory changes associated with a 3GPP band and for UEs to indicate to the network with which regulation the UE is in compliance.</w:t>
      </w:r>
    </w:p>
    <w:p w14:paraId="356AB23C" w14:textId="77777777" w:rsidR="009846B8" w:rsidRPr="000271B6" w:rsidRDefault="009846B8" w:rsidP="009846B8">
      <w:pPr>
        <w:pStyle w:val="TOC1"/>
        <w:rPr>
          <w:noProof/>
          <w:lang w:val="en-US"/>
        </w:rPr>
      </w:pPr>
      <w:r w:rsidRPr="000271B6">
        <w:rPr>
          <w:noProof/>
          <w:lang w:val="en-US"/>
        </w:rPr>
        <w:t>Proposal 4:</w:t>
      </w:r>
      <w:r w:rsidRPr="000271B6">
        <w:rPr>
          <w:noProof/>
          <w:lang w:val="en-US"/>
        </w:rPr>
        <w:tab/>
        <w:t xml:space="preserve">3GPP shall define one </w:t>
      </w:r>
      <w:r w:rsidRPr="000271B6">
        <w:rPr>
          <w:i/>
          <w:noProof/>
          <w:lang w:val="en-US"/>
        </w:rPr>
        <w:t>modifiedMPR</w:t>
      </w:r>
      <w:r w:rsidRPr="000271B6">
        <w:rPr>
          <w:noProof/>
          <w:lang w:val="en-US"/>
        </w:rPr>
        <w:t xml:space="preserve"> bit corresponding to </w:t>
      </w:r>
      <w:r>
        <w:rPr>
          <w:noProof/>
          <w:lang w:val="en-US"/>
        </w:rPr>
        <w:t>band n77</w:t>
      </w:r>
      <w:r w:rsidRPr="000271B6">
        <w:rPr>
          <w:noProof/>
          <w:lang w:val="en-US"/>
        </w:rPr>
        <w:t>, such that if the UE sets the bit, then it implies that the UE supports the new sub-range 3.45-3.55 GHz, and if the UE does not set the bit, then it implies that the UE does not support the new sub-range (i.e. it only supports 3.7-3.98 GHz).</w:t>
      </w:r>
    </w:p>
    <w:p w14:paraId="669C695D" w14:textId="36472737" w:rsidR="00042F58" w:rsidRPr="000271B6" w:rsidRDefault="00042F58" w:rsidP="00042F58">
      <w:pPr>
        <w:pStyle w:val="TOC1"/>
        <w:rPr>
          <w:noProof/>
          <w:lang w:val="en-US"/>
        </w:rPr>
      </w:pPr>
      <w:r w:rsidRPr="000271B6">
        <w:rPr>
          <w:noProof/>
          <w:lang w:val="en-US"/>
        </w:rPr>
        <w:t xml:space="preserve">Proposal </w:t>
      </w:r>
      <w:r w:rsidR="007D26DE">
        <w:rPr>
          <w:noProof/>
          <w:lang w:val="en-US"/>
        </w:rPr>
        <w:t>5</w:t>
      </w:r>
      <w:r w:rsidRPr="000271B6">
        <w:rPr>
          <w:noProof/>
          <w:lang w:val="en-US"/>
        </w:rPr>
        <w:t>:</w:t>
      </w:r>
      <w:r w:rsidRPr="000271B6">
        <w:rPr>
          <w:noProof/>
          <w:lang w:val="en-US"/>
        </w:rPr>
        <w:tab/>
        <w:t xml:space="preserve">3GPP </w:t>
      </w:r>
      <w:r>
        <w:rPr>
          <w:noProof/>
          <w:lang w:val="en-US"/>
        </w:rPr>
        <w:t xml:space="preserve">should discuss further whether explicit indication, via another </w:t>
      </w:r>
      <w:r w:rsidRPr="00A57C71">
        <w:rPr>
          <w:i/>
          <w:noProof/>
          <w:lang w:val="en-US"/>
        </w:rPr>
        <w:t>modifiedMPR</w:t>
      </w:r>
      <w:r>
        <w:rPr>
          <w:noProof/>
          <w:lang w:val="en-US"/>
        </w:rPr>
        <w:t xml:space="preserve"> behavior bit, is needed to distinguish UEs which implement the Rel-15 version of band n77 requirements from UEs which implement the Rel-16 (May 2020) version of band n77 requirements.</w:t>
      </w:r>
    </w:p>
    <w:p w14:paraId="0A369F27" w14:textId="77777777" w:rsidR="008715DB" w:rsidRPr="000271B6" w:rsidRDefault="008715DB" w:rsidP="00A21135">
      <w:pPr>
        <w:pStyle w:val="TOC1"/>
        <w:rPr>
          <w:noProof/>
          <w:lang w:val="en-US"/>
        </w:rPr>
      </w:pPr>
    </w:p>
    <w:bookmarkEnd w:id="0"/>
    <w:p w14:paraId="446075F6" w14:textId="31E9DFF8" w:rsidR="001A4A9A" w:rsidRPr="000271B6" w:rsidRDefault="00757123" w:rsidP="001A4A9A">
      <w:pPr>
        <w:pStyle w:val="Heading1"/>
        <w:rPr>
          <w:lang w:val="en-US"/>
        </w:rPr>
      </w:pPr>
      <w:r w:rsidRPr="000271B6">
        <w:rPr>
          <w:lang w:val="en-US"/>
        </w:rPr>
        <w:t>4</w:t>
      </w:r>
      <w:r w:rsidR="001A4A9A" w:rsidRPr="000271B6">
        <w:rPr>
          <w:lang w:val="en-US"/>
        </w:rPr>
        <w:tab/>
        <w:t>References</w:t>
      </w:r>
    </w:p>
    <w:p w14:paraId="73CEBD60" w14:textId="77777777" w:rsidR="00747D37" w:rsidRPr="000271B6" w:rsidRDefault="00747D37" w:rsidP="00747D37">
      <w:pPr>
        <w:pStyle w:val="EX"/>
        <w:rPr>
          <w:lang w:val="en-US" w:eastAsia="x-none"/>
        </w:rPr>
      </w:pPr>
      <w:r w:rsidRPr="000271B6">
        <w:rPr>
          <w:lang w:val="en-US"/>
        </w:rPr>
        <w:t xml:space="preserve">New FCC rules for 3700-3980MHz: </w:t>
      </w:r>
      <w:hyperlink r:id="rId16" w:history="1">
        <w:r w:rsidRPr="000271B6">
          <w:rPr>
            <w:rStyle w:val="Hyperlink"/>
            <w:lang w:val="en-US" w:eastAsia="x-none"/>
          </w:rPr>
          <w:t>https://docs.fcc.gov/public/attachments/FCC-20-22A1.pdf</w:t>
        </w:r>
      </w:hyperlink>
    </w:p>
    <w:p w14:paraId="64FFA5A7" w14:textId="0772EDB1" w:rsidR="00E4417F" w:rsidRPr="000271B6" w:rsidRDefault="00E4417F" w:rsidP="00E4417F">
      <w:pPr>
        <w:pStyle w:val="EX"/>
        <w:rPr>
          <w:lang w:val="en-US" w:eastAsia="x-none"/>
        </w:rPr>
      </w:pPr>
      <w:r w:rsidRPr="000271B6">
        <w:rPr>
          <w:lang w:val="en-US"/>
        </w:rPr>
        <w:t xml:space="preserve">New FCC rules for 3450-3550MHz: </w:t>
      </w:r>
      <w:hyperlink r:id="rId17" w:history="1">
        <w:r w:rsidRPr="000271B6">
          <w:rPr>
            <w:rStyle w:val="Hyperlink"/>
            <w:lang w:val="en-US" w:eastAsia="x-none"/>
          </w:rPr>
          <w:t>https://docs.fcc.gov/public/attachments/FCC-21-32A1.pdf</w:t>
        </w:r>
      </w:hyperlink>
    </w:p>
    <w:p w14:paraId="30DD301F" w14:textId="0FCA5E6A" w:rsidR="00D20165" w:rsidRPr="000271B6" w:rsidRDefault="00747D37" w:rsidP="005025DE">
      <w:pPr>
        <w:pStyle w:val="EX"/>
        <w:rPr>
          <w:lang w:val="en-US"/>
        </w:rPr>
      </w:pPr>
      <w:r w:rsidRPr="000271B6">
        <w:rPr>
          <w:lang w:val="en-US"/>
        </w:rPr>
        <w:t>R4-20066</w:t>
      </w:r>
      <w:r w:rsidR="003F65C6" w:rsidRPr="000271B6">
        <w:rPr>
          <w:lang w:val="en-US"/>
        </w:rPr>
        <w:t>24</w:t>
      </w:r>
      <w:r w:rsidRPr="000271B6">
        <w:rPr>
          <w:lang w:val="en-US"/>
        </w:rPr>
        <w:t>, “</w:t>
      </w:r>
      <w:r w:rsidR="003F65C6" w:rsidRPr="000271B6">
        <w:rPr>
          <w:lang w:val="en-US"/>
        </w:rPr>
        <w:t>Band n77 usage in the US</w:t>
      </w:r>
      <w:r w:rsidRPr="000271B6">
        <w:rPr>
          <w:lang w:val="en-US"/>
        </w:rPr>
        <w:t>”</w:t>
      </w:r>
      <w:r w:rsidR="003F65C6" w:rsidRPr="000271B6">
        <w:rPr>
          <w:lang w:val="en-US"/>
        </w:rPr>
        <w:t>,</w:t>
      </w:r>
      <w:r w:rsidRPr="000271B6">
        <w:rPr>
          <w:lang w:val="en-US"/>
        </w:rPr>
        <w:t xml:space="preserve"> </w:t>
      </w:r>
      <w:r w:rsidR="003F65C6" w:rsidRPr="000271B6">
        <w:rPr>
          <w:lang w:val="en-US"/>
        </w:rPr>
        <w:t>Apple</w:t>
      </w:r>
    </w:p>
    <w:p w14:paraId="6194C652" w14:textId="174086C0" w:rsidR="00A40DE7" w:rsidRPr="000271B6" w:rsidRDefault="00A40DE7" w:rsidP="005025DE">
      <w:pPr>
        <w:pStyle w:val="EX"/>
        <w:rPr>
          <w:lang w:val="en-US"/>
        </w:rPr>
      </w:pPr>
      <w:bookmarkStart w:id="1" w:name="_Ref70321030"/>
      <w:r w:rsidRPr="000271B6">
        <w:rPr>
          <w:lang w:val="en-US"/>
        </w:rPr>
        <w:t>R4-2107109, “Band n77 usage in the US for 3.45 to 3.55 GHz,” Apple</w:t>
      </w:r>
      <w:bookmarkEnd w:id="1"/>
    </w:p>
    <w:p w14:paraId="71DB810D" w14:textId="70F2F33A" w:rsidR="0064179E" w:rsidRPr="000271B6" w:rsidRDefault="00155976" w:rsidP="0064179E">
      <w:pPr>
        <w:pStyle w:val="EX"/>
        <w:rPr>
          <w:lang w:val="en-US"/>
        </w:rPr>
      </w:pPr>
      <w:bookmarkStart w:id="2" w:name="_Ref70321516"/>
      <w:r w:rsidRPr="000271B6">
        <w:rPr>
          <w:lang w:val="en-US"/>
        </w:rPr>
        <w:t>R4-2105439, “WF on Enabling US 3.45 – 3.55GHz in Band n77,” Apple</w:t>
      </w:r>
      <w:bookmarkEnd w:id="2"/>
    </w:p>
    <w:p w14:paraId="3369F98C" w14:textId="4620CF9F" w:rsidR="0092177A" w:rsidRDefault="00AA39F6" w:rsidP="0064179E">
      <w:pPr>
        <w:pStyle w:val="EX"/>
        <w:rPr>
          <w:lang w:val="en-US"/>
        </w:rPr>
      </w:pPr>
      <w:r w:rsidRPr="00AA39F6">
        <w:rPr>
          <w:lang w:val="en-US"/>
        </w:rPr>
        <w:t>R4-2109443</w:t>
      </w:r>
      <w:r w:rsidR="00530867">
        <w:rPr>
          <w:lang w:val="en-US"/>
        </w:rPr>
        <w:t>, "</w:t>
      </w:r>
      <w:r w:rsidR="00530867" w:rsidRPr="00530867">
        <w:t xml:space="preserve"> </w:t>
      </w:r>
      <w:r w:rsidR="00530867" w:rsidRPr="00530867">
        <w:rPr>
          <w:lang w:val="en-US"/>
        </w:rPr>
        <w:t>Addition of 3.45-3.55 GHz and modifiedMPR behavior in Band n77 for the US</w:t>
      </w:r>
      <w:r w:rsidR="00530867">
        <w:rPr>
          <w:lang w:val="en-US"/>
        </w:rPr>
        <w:t xml:space="preserve">," </w:t>
      </w:r>
      <w:r w:rsidR="00530867" w:rsidRPr="00530867">
        <w:rPr>
          <w:lang w:val="en-US"/>
        </w:rPr>
        <w:t>Apple, Skyworks Solutions Inc.</w:t>
      </w:r>
      <w:r w:rsidR="00202604">
        <w:rPr>
          <w:lang w:val="en-US"/>
        </w:rPr>
        <w:t>, T-Mobile USA</w:t>
      </w:r>
    </w:p>
    <w:p w14:paraId="4AA0EF63" w14:textId="433E2D68" w:rsidR="00DD6240" w:rsidRPr="000271B6" w:rsidRDefault="00DD6240" w:rsidP="0064179E">
      <w:pPr>
        <w:pStyle w:val="EX"/>
        <w:rPr>
          <w:lang w:val="en-US"/>
        </w:rPr>
      </w:pPr>
      <w:bookmarkStart w:id="3" w:name="_Ref70530375"/>
      <w:r w:rsidRPr="00DD6240">
        <w:rPr>
          <w:lang w:val="en-US"/>
        </w:rPr>
        <w:t>R4-2008897</w:t>
      </w:r>
      <w:r>
        <w:rPr>
          <w:lang w:val="en-US"/>
        </w:rPr>
        <w:t>, “</w:t>
      </w:r>
      <w:r w:rsidRPr="00DD6240">
        <w:rPr>
          <w:lang w:val="en-US"/>
        </w:rPr>
        <w:t>Addition of UE coexistence between US bands and NR Band n77</w:t>
      </w:r>
      <w:r>
        <w:rPr>
          <w:lang w:val="en-US"/>
        </w:rPr>
        <w:t xml:space="preserve">,” </w:t>
      </w:r>
      <w:r w:rsidRPr="00DD6240">
        <w:rPr>
          <w:lang w:val="en-US"/>
        </w:rPr>
        <w:t>Qualcomm Incorporated, Verizon, T-Mobile USA, AT&amp;T, Apple, Ericsson</w:t>
      </w:r>
      <w:bookmarkEnd w:id="3"/>
    </w:p>
    <w:sectPr w:rsidR="00DD6240" w:rsidRPr="000271B6">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E169DC" w14:textId="77777777" w:rsidR="007D2D18" w:rsidRDefault="007D2D18">
      <w:r>
        <w:separator/>
      </w:r>
    </w:p>
  </w:endnote>
  <w:endnote w:type="continuationSeparator" w:id="0">
    <w:p w14:paraId="4018B435" w14:textId="77777777" w:rsidR="007D2D18" w:rsidRDefault="007D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4417F" w:rsidRDefault="00E4417F">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26315" w14:textId="77777777" w:rsidR="007D2D18" w:rsidRDefault="007D2D18">
      <w:r>
        <w:separator/>
      </w:r>
    </w:p>
  </w:footnote>
  <w:footnote w:type="continuationSeparator" w:id="0">
    <w:p w14:paraId="07B92B36" w14:textId="77777777" w:rsidR="007D2D18" w:rsidRDefault="007D2D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10"/>
  </w:num>
  <w:num w:numId="8">
    <w:abstractNumId w:val="3"/>
  </w:num>
  <w:num w:numId="9">
    <w:abstractNumId w:val="7"/>
  </w:num>
  <w:num w:numId="10">
    <w:abstractNumId w:val="2"/>
  </w:num>
  <w:num w:numId="11">
    <w:abstractNumId w:val="11"/>
  </w:num>
  <w:num w:numId="12">
    <w:abstractNumId w:val="5"/>
  </w:num>
  <w:num w:numId="13">
    <w:abstractNumId w:val="6"/>
  </w:num>
  <w:num w:numId="14">
    <w:abstractNumId w:val="16"/>
  </w:num>
  <w:num w:numId="15">
    <w:abstractNumId w:val="4"/>
  </w:num>
  <w:num w:numId="16">
    <w:abstractNumId w:val="12"/>
  </w:num>
  <w:num w:numId="17">
    <w:abstractNumId w:val="8"/>
  </w:num>
  <w:num w:numId="18">
    <w:abstractNumId w:val="15"/>
  </w:num>
  <w:num w:numId="19">
    <w:abstractNumId w:val="17"/>
  </w:num>
  <w:num w:numId="20">
    <w:abstractNumId w:val="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E4D"/>
    <w:rsid w:val="000255A7"/>
    <w:rsid w:val="00025CDD"/>
    <w:rsid w:val="000271B6"/>
    <w:rsid w:val="00033397"/>
    <w:rsid w:val="00040095"/>
    <w:rsid w:val="00042F58"/>
    <w:rsid w:val="00042FF8"/>
    <w:rsid w:val="00051834"/>
    <w:rsid w:val="00054A22"/>
    <w:rsid w:val="00055B36"/>
    <w:rsid w:val="00061E44"/>
    <w:rsid w:val="00062023"/>
    <w:rsid w:val="000655A6"/>
    <w:rsid w:val="0007032C"/>
    <w:rsid w:val="00074895"/>
    <w:rsid w:val="00080512"/>
    <w:rsid w:val="00080E83"/>
    <w:rsid w:val="00082B60"/>
    <w:rsid w:val="00087592"/>
    <w:rsid w:val="00094BF6"/>
    <w:rsid w:val="0009755D"/>
    <w:rsid w:val="000A2DD7"/>
    <w:rsid w:val="000A365D"/>
    <w:rsid w:val="000C47C3"/>
    <w:rsid w:val="000C554A"/>
    <w:rsid w:val="000C7B5A"/>
    <w:rsid w:val="000D1712"/>
    <w:rsid w:val="000D58AB"/>
    <w:rsid w:val="000E6182"/>
    <w:rsid w:val="000F113F"/>
    <w:rsid w:val="000F3D3E"/>
    <w:rsid w:val="00104BC6"/>
    <w:rsid w:val="0012087C"/>
    <w:rsid w:val="00122B1F"/>
    <w:rsid w:val="00124FD7"/>
    <w:rsid w:val="001257D3"/>
    <w:rsid w:val="00133525"/>
    <w:rsid w:val="00136FA6"/>
    <w:rsid w:val="00146EA0"/>
    <w:rsid w:val="00155976"/>
    <w:rsid w:val="00157FC7"/>
    <w:rsid w:val="00175496"/>
    <w:rsid w:val="0018002F"/>
    <w:rsid w:val="00196EAF"/>
    <w:rsid w:val="0019748B"/>
    <w:rsid w:val="001A29F8"/>
    <w:rsid w:val="001A4A9A"/>
    <w:rsid w:val="001A4C42"/>
    <w:rsid w:val="001B6C06"/>
    <w:rsid w:val="001C21C3"/>
    <w:rsid w:val="001C3200"/>
    <w:rsid w:val="001D02C2"/>
    <w:rsid w:val="001E5AE6"/>
    <w:rsid w:val="001F0C1D"/>
    <w:rsid w:val="001F0E95"/>
    <w:rsid w:val="001F1132"/>
    <w:rsid w:val="001F168B"/>
    <w:rsid w:val="001F6FEF"/>
    <w:rsid w:val="00202604"/>
    <w:rsid w:val="00203C41"/>
    <w:rsid w:val="002057A2"/>
    <w:rsid w:val="00212866"/>
    <w:rsid w:val="0021601D"/>
    <w:rsid w:val="00217864"/>
    <w:rsid w:val="00223880"/>
    <w:rsid w:val="002240CF"/>
    <w:rsid w:val="0023338F"/>
    <w:rsid w:val="002347A2"/>
    <w:rsid w:val="002450D8"/>
    <w:rsid w:val="00247926"/>
    <w:rsid w:val="00250061"/>
    <w:rsid w:val="0026625A"/>
    <w:rsid w:val="002675F0"/>
    <w:rsid w:val="002713E6"/>
    <w:rsid w:val="00276EE4"/>
    <w:rsid w:val="002954D8"/>
    <w:rsid w:val="002A546D"/>
    <w:rsid w:val="002B6339"/>
    <w:rsid w:val="002E00EE"/>
    <w:rsid w:val="002E096F"/>
    <w:rsid w:val="002F2CF6"/>
    <w:rsid w:val="0031034F"/>
    <w:rsid w:val="003172DC"/>
    <w:rsid w:val="003310D1"/>
    <w:rsid w:val="00331783"/>
    <w:rsid w:val="0033319F"/>
    <w:rsid w:val="00344DD9"/>
    <w:rsid w:val="00347C71"/>
    <w:rsid w:val="0035462D"/>
    <w:rsid w:val="00360686"/>
    <w:rsid w:val="003613DC"/>
    <w:rsid w:val="003631EB"/>
    <w:rsid w:val="00366A6D"/>
    <w:rsid w:val="003753AF"/>
    <w:rsid w:val="003765B8"/>
    <w:rsid w:val="0038066E"/>
    <w:rsid w:val="003918E1"/>
    <w:rsid w:val="00396185"/>
    <w:rsid w:val="00396203"/>
    <w:rsid w:val="003A0483"/>
    <w:rsid w:val="003C3971"/>
    <w:rsid w:val="003C42FC"/>
    <w:rsid w:val="003C4ED1"/>
    <w:rsid w:val="003C564B"/>
    <w:rsid w:val="003E7753"/>
    <w:rsid w:val="003F2103"/>
    <w:rsid w:val="003F27D4"/>
    <w:rsid w:val="003F65C6"/>
    <w:rsid w:val="0041050A"/>
    <w:rsid w:val="00423334"/>
    <w:rsid w:val="004345EC"/>
    <w:rsid w:val="004650F8"/>
    <w:rsid w:val="00467572"/>
    <w:rsid w:val="00471413"/>
    <w:rsid w:val="004826A9"/>
    <w:rsid w:val="004B2602"/>
    <w:rsid w:val="004B5103"/>
    <w:rsid w:val="004C002B"/>
    <w:rsid w:val="004C1601"/>
    <w:rsid w:val="004C3481"/>
    <w:rsid w:val="004D034A"/>
    <w:rsid w:val="004D3578"/>
    <w:rsid w:val="004D40A9"/>
    <w:rsid w:val="004D5825"/>
    <w:rsid w:val="004D72C4"/>
    <w:rsid w:val="004E213A"/>
    <w:rsid w:val="004E2B61"/>
    <w:rsid w:val="004F0988"/>
    <w:rsid w:val="004F3340"/>
    <w:rsid w:val="004F3E3D"/>
    <w:rsid w:val="005025DE"/>
    <w:rsid w:val="00514E38"/>
    <w:rsid w:val="00517E70"/>
    <w:rsid w:val="00525EB5"/>
    <w:rsid w:val="00526CFF"/>
    <w:rsid w:val="00530867"/>
    <w:rsid w:val="00532AD3"/>
    <w:rsid w:val="0053388B"/>
    <w:rsid w:val="005343EF"/>
    <w:rsid w:val="00535773"/>
    <w:rsid w:val="00543E6C"/>
    <w:rsid w:val="00551FC5"/>
    <w:rsid w:val="00565087"/>
    <w:rsid w:val="005721BB"/>
    <w:rsid w:val="00572E14"/>
    <w:rsid w:val="005856CE"/>
    <w:rsid w:val="00585A0F"/>
    <w:rsid w:val="005973BE"/>
    <w:rsid w:val="005A5986"/>
    <w:rsid w:val="005C3888"/>
    <w:rsid w:val="005D2E01"/>
    <w:rsid w:val="005D7526"/>
    <w:rsid w:val="005E69AE"/>
    <w:rsid w:val="00602AEA"/>
    <w:rsid w:val="00607E3C"/>
    <w:rsid w:val="00614FDF"/>
    <w:rsid w:val="00615280"/>
    <w:rsid w:val="006152F8"/>
    <w:rsid w:val="006246A7"/>
    <w:rsid w:val="00625565"/>
    <w:rsid w:val="0062595A"/>
    <w:rsid w:val="00634730"/>
    <w:rsid w:val="0063543D"/>
    <w:rsid w:val="0064179E"/>
    <w:rsid w:val="00642255"/>
    <w:rsid w:val="00646CAF"/>
    <w:rsid w:val="00647114"/>
    <w:rsid w:val="00650B54"/>
    <w:rsid w:val="00654D3E"/>
    <w:rsid w:val="006675E6"/>
    <w:rsid w:val="006704EC"/>
    <w:rsid w:val="00674D66"/>
    <w:rsid w:val="00682F22"/>
    <w:rsid w:val="006A323F"/>
    <w:rsid w:val="006B30D0"/>
    <w:rsid w:val="006C3D95"/>
    <w:rsid w:val="006D07D9"/>
    <w:rsid w:val="006D43A6"/>
    <w:rsid w:val="006E212E"/>
    <w:rsid w:val="006E5C86"/>
    <w:rsid w:val="00713C44"/>
    <w:rsid w:val="00715490"/>
    <w:rsid w:val="00716FAD"/>
    <w:rsid w:val="00721F55"/>
    <w:rsid w:val="007311BF"/>
    <w:rsid w:val="00734A5B"/>
    <w:rsid w:val="007368AE"/>
    <w:rsid w:val="0074026F"/>
    <w:rsid w:val="007429F6"/>
    <w:rsid w:val="00744D00"/>
    <w:rsid w:val="00744E76"/>
    <w:rsid w:val="00747D37"/>
    <w:rsid w:val="00752198"/>
    <w:rsid w:val="0075242E"/>
    <w:rsid w:val="00753881"/>
    <w:rsid w:val="007545D3"/>
    <w:rsid w:val="00757123"/>
    <w:rsid w:val="00760957"/>
    <w:rsid w:val="00765D86"/>
    <w:rsid w:val="00766617"/>
    <w:rsid w:val="007713D4"/>
    <w:rsid w:val="00774DA4"/>
    <w:rsid w:val="00774F1E"/>
    <w:rsid w:val="00781A53"/>
    <w:rsid w:val="00781D07"/>
    <w:rsid w:val="00781F0F"/>
    <w:rsid w:val="00782965"/>
    <w:rsid w:val="0078318F"/>
    <w:rsid w:val="007A0324"/>
    <w:rsid w:val="007A634D"/>
    <w:rsid w:val="007A76F6"/>
    <w:rsid w:val="007B600E"/>
    <w:rsid w:val="007D26DE"/>
    <w:rsid w:val="007D2D18"/>
    <w:rsid w:val="007D6D85"/>
    <w:rsid w:val="007E405D"/>
    <w:rsid w:val="007F0F4A"/>
    <w:rsid w:val="008007D9"/>
    <w:rsid w:val="008028A4"/>
    <w:rsid w:val="0080441B"/>
    <w:rsid w:val="00815718"/>
    <w:rsid w:val="00820B25"/>
    <w:rsid w:val="00824AF7"/>
    <w:rsid w:val="008301A5"/>
    <w:rsid w:val="00830747"/>
    <w:rsid w:val="008715DB"/>
    <w:rsid w:val="008768CA"/>
    <w:rsid w:val="008B0466"/>
    <w:rsid w:val="008C384C"/>
    <w:rsid w:val="008C5161"/>
    <w:rsid w:val="008E1FF8"/>
    <w:rsid w:val="008E7986"/>
    <w:rsid w:val="008F0727"/>
    <w:rsid w:val="008F6E93"/>
    <w:rsid w:val="0090271F"/>
    <w:rsid w:val="00902E23"/>
    <w:rsid w:val="00903180"/>
    <w:rsid w:val="00905157"/>
    <w:rsid w:val="009114D7"/>
    <w:rsid w:val="0091348E"/>
    <w:rsid w:val="00916F81"/>
    <w:rsid w:val="00917CCB"/>
    <w:rsid w:val="0092177A"/>
    <w:rsid w:val="009305F8"/>
    <w:rsid w:val="00936C43"/>
    <w:rsid w:val="009404A3"/>
    <w:rsid w:val="00942EC2"/>
    <w:rsid w:val="009536FA"/>
    <w:rsid w:val="0097239F"/>
    <w:rsid w:val="00973F6E"/>
    <w:rsid w:val="009826B3"/>
    <w:rsid w:val="009846B8"/>
    <w:rsid w:val="00996113"/>
    <w:rsid w:val="00997281"/>
    <w:rsid w:val="009A2BFA"/>
    <w:rsid w:val="009A6DA8"/>
    <w:rsid w:val="009B5BF4"/>
    <w:rsid w:val="009D45F3"/>
    <w:rsid w:val="009D481C"/>
    <w:rsid w:val="009E2A9D"/>
    <w:rsid w:val="009E6E52"/>
    <w:rsid w:val="009F37B7"/>
    <w:rsid w:val="009F5E43"/>
    <w:rsid w:val="009F6F20"/>
    <w:rsid w:val="00A10F02"/>
    <w:rsid w:val="00A11A5E"/>
    <w:rsid w:val="00A15927"/>
    <w:rsid w:val="00A164B4"/>
    <w:rsid w:val="00A16F12"/>
    <w:rsid w:val="00A21135"/>
    <w:rsid w:val="00A26956"/>
    <w:rsid w:val="00A40DE7"/>
    <w:rsid w:val="00A508A3"/>
    <w:rsid w:val="00A53724"/>
    <w:rsid w:val="00A55310"/>
    <w:rsid w:val="00A57C71"/>
    <w:rsid w:val="00A610B1"/>
    <w:rsid w:val="00A6171D"/>
    <w:rsid w:val="00A73129"/>
    <w:rsid w:val="00A75A83"/>
    <w:rsid w:val="00A7650B"/>
    <w:rsid w:val="00A8011F"/>
    <w:rsid w:val="00A82346"/>
    <w:rsid w:val="00A853F7"/>
    <w:rsid w:val="00A91741"/>
    <w:rsid w:val="00A92BA1"/>
    <w:rsid w:val="00AA39F6"/>
    <w:rsid w:val="00AB75C8"/>
    <w:rsid w:val="00AC6BC6"/>
    <w:rsid w:val="00AD081C"/>
    <w:rsid w:val="00AE3797"/>
    <w:rsid w:val="00AF6377"/>
    <w:rsid w:val="00AF6B7D"/>
    <w:rsid w:val="00B03B5E"/>
    <w:rsid w:val="00B15449"/>
    <w:rsid w:val="00B17447"/>
    <w:rsid w:val="00B2029A"/>
    <w:rsid w:val="00B36631"/>
    <w:rsid w:val="00B474C6"/>
    <w:rsid w:val="00B51F12"/>
    <w:rsid w:val="00B61020"/>
    <w:rsid w:val="00B71D6F"/>
    <w:rsid w:val="00B814E5"/>
    <w:rsid w:val="00B93086"/>
    <w:rsid w:val="00BA13F1"/>
    <w:rsid w:val="00BA19ED"/>
    <w:rsid w:val="00BA300B"/>
    <w:rsid w:val="00BA4B8D"/>
    <w:rsid w:val="00BA71FB"/>
    <w:rsid w:val="00BB2433"/>
    <w:rsid w:val="00BC0F7D"/>
    <w:rsid w:val="00BC3F76"/>
    <w:rsid w:val="00BD4E2E"/>
    <w:rsid w:val="00BE3255"/>
    <w:rsid w:val="00BE5536"/>
    <w:rsid w:val="00BF128E"/>
    <w:rsid w:val="00BF5DDC"/>
    <w:rsid w:val="00C06E73"/>
    <w:rsid w:val="00C1496A"/>
    <w:rsid w:val="00C2282D"/>
    <w:rsid w:val="00C33079"/>
    <w:rsid w:val="00C45231"/>
    <w:rsid w:val="00C50B29"/>
    <w:rsid w:val="00C54DF5"/>
    <w:rsid w:val="00C64604"/>
    <w:rsid w:val="00C72833"/>
    <w:rsid w:val="00C80F1D"/>
    <w:rsid w:val="00C92816"/>
    <w:rsid w:val="00C93F40"/>
    <w:rsid w:val="00CA2C5C"/>
    <w:rsid w:val="00CA3D0C"/>
    <w:rsid w:val="00CB0740"/>
    <w:rsid w:val="00CB13E9"/>
    <w:rsid w:val="00CC1B7A"/>
    <w:rsid w:val="00CC3E20"/>
    <w:rsid w:val="00CE2FAD"/>
    <w:rsid w:val="00CF20E3"/>
    <w:rsid w:val="00CF3390"/>
    <w:rsid w:val="00CF4702"/>
    <w:rsid w:val="00CF7363"/>
    <w:rsid w:val="00D13BD1"/>
    <w:rsid w:val="00D1577A"/>
    <w:rsid w:val="00D16279"/>
    <w:rsid w:val="00D20165"/>
    <w:rsid w:val="00D309CC"/>
    <w:rsid w:val="00D45EE8"/>
    <w:rsid w:val="00D46431"/>
    <w:rsid w:val="00D52122"/>
    <w:rsid w:val="00D554AC"/>
    <w:rsid w:val="00D56A52"/>
    <w:rsid w:val="00D57972"/>
    <w:rsid w:val="00D675A9"/>
    <w:rsid w:val="00D738D6"/>
    <w:rsid w:val="00D741FE"/>
    <w:rsid w:val="00D755EB"/>
    <w:rsid w:val="00D76F33"/>
    <w:rsid w:val="00D76F5B"/>
    <w:rsid w:val="00D87E00"/>
    <w:rsid w:val="00D9134D"/>
    <w:rsid w:val="00D92C98"/>
    <w:rsid w:val="00D933FA"/>
    <w:rsid w:val="00DA2D8C"/>
    <w:rsid w:val="00DA7A03"/>
    <w:rsid w:val="00DB1818"/>
    <w:rsid w:val="00DC309B"/>
    <w:rsid w:val="00DC4DA2"/>
    <w:rsid w:val="00DD4C17"/>
    <w:rsid w:val="00DD6240"/>
    <w:rsid w:val="00DD7DBA"/>
    <w:rsid w:val="00DE10B6"/>
    <w:rsid w:val="00DE1B46"/>
    <w:rsid w:val="00DF2B1F"/>
    <w:rsid w:val="00DF6189"/>
    <w:rsid w:val="00DF62CD"/>
    <w:rsid w:val="00E03542"/>
    <w:rsid w:val="00E05730"/>
    <w:rsid w:val="00E05F92"/>
    <w:rsid w:val="00E11265"/>
    <w:rsid w:val="00E12D5A"/>
    <w:rsid w:val="00E14FA8"/>
    <w:rsid w:val="00E16509"/>
    <w:rsid w:val="00E22308"/>
    <w:rsid w:val="00E2499B"/>
    <w:rsid w:val="00E255F5"/>
    <w:rsid w:val="00E3192D"/>
    <w:rsid w:val="00E4417F"/>
    <w:rsid w:val="00E44582"/>
    <w:rsid w:val="00E47723"/>
    <w:rsid w:val="00E50039"/>
    <w:rsid w:val="00E52814"/>
    <w:rsid w:val="00E60E2F"/>
    <w:rsid w:val="00E647B0"/>
    <w:rsid w:val="00E64FAA"/>
    <w:rsid w:val="00E65E13"/>
    <w:rsid w:val="00E70C11"/>
    <w:rsid w:val="00E72324"/>
    <w:rsid w:val="00E72ABE"/>
    <w:rsid w:val="00E76A34"/>
    <w:rsid w:val="00E77645"/>
    <w:rsid w:val="00E83883"/>
    <w:rsid w:val="00E86C73"/>
    <w:rsid w:val="00E876FB"/>
    <w:rsid w:val="00EA1A31"/>
    <w:rsid w:val="00EB5B83"/>
    <w:rsid w:val="00EC4A25"/>
    <w:rsid w:val="00ED77BD"/>
    <w:rsid w:val="00EE1D43"/>
    <w:rsid w:val="00EE3D6E"/>
    <w:rsid w:val="00EE5AA7"/>
    <w:rsid w:val="00EF0EB0"/>
    <w:rsid w:val="00EF22C6"/>
    <w:rsid w:val="00EF4C60"/>
    <w:rsid w:val="00F025A2"/>
    <w:rsid w:val="00F04712"/>
    <w:rsid w:val="00F04CE1"/>
    <w:rsid w:val="00F21311"/>
    <w:rsid w:val="00F22EC7"/>
    <w:rsid w:val="00F2699A"/>
    <w:rsid w:val="00F30716"/>
    <w:rsid w:val="00F30782"/>
    <w:rsid w:val="00F325C8"/>
    <w:rsid w:val="00F47351"/>
    <w:rsid w:val="00F5250F"/>
    <w:rsid w:val="00F62AEB"/>
    <w:rsid w:val="00F653B8"/>
    <w:rsid w:val="00F67EF5"/>
    <w:rsid w:val="00F70647"/>
    <w:rsid w:val="00F84751"/>
    <w:rsid w:val="00F87D10"/>
    <w:rsid w:val="00F92A5A"/>
    <w:rsid w:val="00F97B58"/>
    <w:rsid w:val="00FA0D4A"/>
    <w:rsid w:val="00FA1266"/>
    <w:rsid w:val="00FB2F0E"/>
    <w:rsid w:val="00FB49CF"/>
    <w:rsid w:val="00FB652A"/>
    <w:rsid w:val="00FB6835"/>
    <w:rsid w:val="00FC1192"/>
    <w:rsid w:val="00FC4484"/>
    <w:rsid w:val="00FC4E17"/>
    <w:rsid w:val="00FD5D83"/>
    <w:rsid w:val="00FD6204"/>
    <w:rsid w:val="00FE44D7"/>
    <w:rsid w:val="00FF2BE7"/>
    <w:rsid w:val="00FF4EF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qFormat/>
    <w:rsid w:val="008B0466"/>
    <w:pPr>
      <w:spacing w:before="100" w:beforeAutospacing="1" w:after="100" w:afterAutospacing="1"/>
    </w:pPr>
    <w:rPr>
      <w:rFonts w:eastAsiaTheme="minorEastAsia"/>
      <w:sz w:val="24"/>
      <w:szCs w:val="24"/>
      <w:lang w:val="de-DE"/>
    </w:rPr>
  </w:style>
  <w:style w:type="character" w:customStyle="1" w:styleId="TACChar">
    <w:name w:val="TAC Char"/>
    <w:link w:val="TAC"/>
    <w:qFormat/>
    <w:rsid w:val="0041050A"/>
    <w:rPr>
      <w:rFonts w:ascii="Arial" w:hAnsi="Arial"/>
      <w:sz w:val="18"/>
      <w:lang w:eastAsia="en-US"/>
    </w:rPr>
  </w:style>
  <w:style w:type="character" w:customStyle="1" w:styleId="TAHCar">
    <w:name w:val="TAH Car"/>
    <w:link w:val="TAH"/>
    <w:qFormat/>
    <w:rsid w:val="0041050A"/>
    <w:rPr>
      <w:rFonts w:ascii="Arial" w:hAnsi="Arial"/>
      <w:b/>
      <w:sz w:val="18"/>
      <w:lang w:eastAsia="en-US"/>
    </w:rPr>
  </w:style>
  <w:style w:type="character" w:styleId="FollowedHyperlink">
    <w:name w:val="FollowedHyperlink"/>
    <w:rsid w:val="004C3481"/>
    <w:rPr>
      <w:color w:val="954F72"/>
      <w:u w:val="single"/>
    </w:rPr>
  </w:style>
  <w:style w:type="paragraph" w:styleId="Index2">
    <w:name w:val="index 2"/>
    <w:basedOn w:val="Index1"/>
    <w:rsid w:val="004C3481"/>
    <w:pPr>
      <w:ind w:left="284"/>
    </w:pPr>
  </w:style>
  <w:style w:type="paragraph" w:styleId="Index1">
    <w:name w:val="index 1"/>
    <w:basedOn w:val="Normal"/>
    <w:rsid w:val="004C3481"/>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rsid w:val="004C3481"/>
    <w:pPr>
      <w:ind w:left="851"/>
    </w:pPr>
  </w:style>
  <w:style w:type="character" w:styleId="FootnoteReference">
    <w:name w:val="footnote reference"/>
    <w:rsid w:val="004C3481"/>
    <w:rPr>
      <w:b/>
      <w:position w:val="6"/>
      <w:sz w:val="16"/>
    </w:rPr>
  </w:style>
  <w:style w:type="paragraph" w:styleId="FootnoteText">
    <w:name w:val="footnote text"/>
    <w:basedOn w:val="Normal"/>
    <w:link w:val="FootnoteTextChar"/>
    <w:rsid w:val="004C3481"/>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basedOn w:val="DefaultParagraphFont"/>
    <w:link w:val="FootnoteText"/>
    <w:rsid w:val="004C3481"/>
    <w:rPr>
      <w:rFonts w:eastAsia="MS Mincho"/>
      <w:sz w:val="16"/>
    </w:rPr>
  </w:style>
  <w:style w:type="paragraph" w:styleId="ListBullet2">
    <w:name w:val="List Bullet 2"/>
    <w:basedOn w:val="ListBullet"/>
    <w:rsid w:val="004C3481"/>
    <w:pPr>
      <w:ind w:left="851"/>
    </w:pPr>
  </w:style>
  <w:style w:type="paragraph" w:styleId="ListBullet3">
    <w:name w:val="List Bullet 3"/>
    <w:basedOn w:val="ListBullet2"/>
    <w:rsid w:val="004C3481"/>
    <w:pPr>
      <w:ind w:left="1135"/>
    </w:pPr>
  </w:style>
  <w:style w:type="paragraph" w:styleId="ListNumber">
    <w:name w:val="List Number"/>
    <w:basedOn w:val="List"/>
    <w:rsid w:val="004C3481"/>
  </w:style>
  <w:style w:type="paragraph" w:styleId="List2">
    <w:name w:val="List 2"/>
    <w:basedOn w:val="List"/>
    <w:rsid w:val="004C3481"/>
    <w:pPr>
      <w:ind w:left="851"/>
    </w:pPr>
  </w:style>
  <w:style w:type="paragraph" w:styleId="List3">
    <w:name w:val="List 3"/>
    <w:basedOn w:val="List2"/>
    <w:rsid w:val="004C3481"/>
    <w:pPr>
      <w:ind w:left="1135"/>
    </w:pPr>
  </w:style>
  <w:style w:type="paragraph" w:styleId="List4">
    <w:name w:val="List 4"/>
    <w:basedOn w:val="List3"/>
    <w:rsid w:val="004C3481"/>
    <w:pPr>
      <w:ind w:left="1418"/>
    </w:pPr>
  </w:style>
  <w:style w:type="paragraph" w:styleId="List5">
    <w:name w:val="List 5"/>
    <w:basedOn w:val="List4"/>
    <w:rsid w:val="004C3481"/>
    <w:pPr>
      <w:ind w:left="1702"/>
    </w:pPr>
  </w:style>
  <w:style w:type="paragraph" w:styleId="List">
    <w:name w:val="List"/>
    <w:basedOn w:val="Normal"/>
    <w:rsid w:val="004C3481"/>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rsid w:val="004C3481"/>
  </w:style>
  <w:style w:type="paragraph" w:styleId="ListBullet4">
    <w:name w:val="List Bullet 4"/>
    <w:basedOn w:val="ListBullet3"/>
    <w:rsid w:val="004C3481"/>
    <w:pPr>
      <w:ind w:left="1418"/>
    </w:pPr>
  </w:style>
  <w:style w:type="paragraph" w:styleId="ListBullet5">
    <w:name w:val="List Bullet 5"/>
    <w:basedOn w:val="ListBullet4"/>
    <w:rsid w:val="004C3481"/>
    <w:pPr>
      <w:ind w:left="1702"/>
    </w:pPr>
  </w:style>
  <w:style w:type="paragraph" w:customStyle="1" w:styleId="CRCoverPage">
    <w:name w:val="CR Cover Page"/>
    <w:link w:val="CRCoverPageChar"/>
    <w:rsid w:val="004C3481"/>
    <w:pPr>
      <w:spacing w:after="120"/>
    </w:pPr>
    <w:rPr>
      <w:rFonts w:ascii="Arial" w:eastAsia="Malgun Gothic" w:hAnsi="Arial"/>
      <w:lang w:eastAsia="ko-KR"/>
    </w:rPr>
  </w:style>
  <w:style w:type="character" w:styleId="CommentReference">
    <w:name w:val="annotation reference"/>
    <w:uiPriority w:val="99"/>
    <w:rsid w:val="004C3481"/>
    <w:rPr>
      <w:sz w:val="16"/>
    </w:rPr>
  </w:style>
  <w:style w:type="paragraph" w:styleId="CommentText">
    <w:name w:val="annotation text"/>
    <w:basedOn w:val="Normal"/>
    <w:link w:val="CommentTextChar"/>
    <w:uiPriority w:val="99"/>
    <w:rsid w:val="004C3481"/>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4C3481"/>
    <w:rPr>
      <w:rFonts w:eastAsia="MS Mincho"/>
    </w:rPr>
  </w:style>
  <w:style w:type="paragraph" w:styleId="CommentSubject">
    <w:name w:val="annotation subject"/>
    <w:basedOn w:val="CommentText"/>
    <w:next w:val="CommentText"/>
    <w:link w:val="CommentSubjectChar"/>
    <w:rsid w:val="004C3481"/>
    <w:rPr>
      <w:b/>
      <w:bCs/>
    </w:rPr>
  </w:style>
  <w:style w:type="character" w:customStyle="1" w:styleId="CommentSubjectChar">
    <w:name w:val="Comment Subject Char"/>
    <w:basedOn w:val="CommentTextChar"/>
    <w:link w:val="CommentSubject"/>
    <w:rsid w:val="004C3481"/>
    <w:rPr>
      <w:rFonts w:eastAsia="MS Mincho"/>
      <w:b/>
      <w:bCs/>
    </w:rPr>
  </w:style>
  <w:style w:type="paragraph" w:styleId="DocumentMap">
    <w:name w:val="Document Map"/>
    <w:basedOn w:val="Normal"/>
    <w:link w:val="DocumentMapChar"/>
    <w:rsid w:val="004C3481"/>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rsid w:val="004C3481"/>
    <w:rPr>
      <w:rFonts w:ascii="Tahoma" w:eastAsia="MS Mincho" w:hAnsi="Tahoma"/>
      <w:shd w:val="clear" w:color="auto" w:fill="000080"/>
    </w:rPr>
  </w:style>
  <w:style w:type="character" w:customStyle="1" w:styleId="UnresolvedMention1">
    <w:name w:val="Unresolved Mention1"/>
    <w:uiPriority w:val="99"/>
    <w:semiHidden/>
    <w:unhideWhenUsed/>
    <w:rsid w:val="004C3481"/>
    <w:rPr>
      <w:color w:val="808080"/>
      <w:shd w:val="clear" w:color="auto" w:fill="E6E6E6"/>
    </w:rPr>
  </w:style>
  <w:style w:type="character" w:customStyle="1" w:styleId="THChar">
    <w:name w:val="TH Char"/>
    <w:link w:val="TH"/>
    <w:qFormat/>
    <w:rsid w:val="004C3481"/>
    <w:rPr>
      <w:rFonts w:ascii="Arial" w:hAnsi="Arial"/>
      <w:b/>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C3481"/>
    <w:rPr>
      <w:rFonts w:ascii="Arial" w:hAnsi="Arial"/>
      <w:sz w:val="28"/>
      <w:lang w:eastAsia="en-US"/>
    </w:rPr>
  </w:style>
  <w:style w:type="character" w:customStyle="1" w:styleId="NOChar">
    <w:name w:val="NO Char"/>
    <w:link w:val="NO"/>
    <w:qFormat/>
    <w:rsid w:val="004C3481"/>
    <w:rPr>
      <w:lang w:eastAsia="en-US"/>
    </w:rPr>
  </w:style>
  <w:style w:type="character" w:customStyle="1" w:styleId="TANChar">
    <w:name w:val="TAN Char"/>
    <w:link w:val="TAN"/>
    <w:qFormat/>
    <w:rsid w:val="004C3481"/>
    <w:rPr>
      <w:rFonts w:ascii="Arial" w:hAnsi="Arial"/>
      <w:sz w:val="18"/>
      <w:lang w:eastAsia="en-US"/>
    </w:rPr>
  </w:style>
  <w:style w:type="character" w:customStyle="1" w:styleId="B1Char">
    <w:name w:val="B1 Char"/>
    <w:link w:val="B1"/>
    <w:locked/>
    <w:rsid w:val="004C3481"/>
    <w:rPr>
      <w:lang w:eastAsia="en-US"/>
    </w:rPr>
  </w:style>
  <w:style w:type="character" w:customStyle="1" w:styleId="B2Char">
    <w:name w:val="B2 Char"/>
    <w:link w:val="B2"/>
    <w:locked/>
    <w:rsid w:val="004C3481"/>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3481"/>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C3481"/>
    <w:rPr>
      <w:rFonts w:ascii="Arial" w:hAnsi="Arial"/>
      <w:sz w:val="22"/>
      <w:lang w:eastAsia="en-US"/>
    </w:rPr>
  </w:style>
  <w:style w:type="character" w:customStyle="1" w:styleId="TALCar">
    <w:name w:val="TAL Car"/>
    <w:link w:val="TAL"/>
    <w:qFormat/>
    <w:rsid w:val="004C3481"/>
    <w:rPr>
      <w:rFonts w:ascii="Arial" w:hAnsi="Arial"/>
      <w:sz w:val="18"/>
      <w:lang w:eastAsia="en-US"/>
    </w:rPr>
  </w:style>
  <w:style w:type="character" w:styleId="SubtleReference">
    <w:name w:val="Subtle Reference"/>
    <w:uiPriority w:val="31"/>
    <w:qFormat/>
    <w:rsid w:val="004C3481"/>
    <w:rPr>
      <w:smallCaps/>
      <w:color w:val="5A5A5A"/>
    </w:rPr>
  </w:style>
  <w:style w:type="character" w:customStyle="1" w:styleId="TFChar">
    <w:name w:val="TF Char"/>
    <w:link w:val="TF"/>
    <w:rsid w:val="004C3481"/>
    <w:rPr>
      <w:rFonts w:ascii="Arial" w:hAnsi="Arial"/>
      <w:b/>
      <w:lang w:eastAsia="en-US"/>
    </w:rPr>
  </w:style>
  <w:style w:type="character" w:customStyle="1" w:styleId="TALChar">
    <w:name w:val="TAL Char"/>
    <w:qFormat/>
    <w:locked/>
    <w:rsid w:val="004C34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3481"/>
    <w:rPr>
      <w:rFonts w:ascii="Arial" w:hAnsi="Arial"/>
      <w:sz w:val="32"/>
      <w:lang w:eastAsia="en-US"/>
    </w:rPr>
  </w:style>
  <w:style w:type="paragraph" w:customStyle="1" w:styleId="TableText">
    <w:name w:val="TableText"/>
    <w:basedOn w:val="Normal"/>
    <w:qFormat/>
    <w:rsid w:val="00CC3E20"/>
    <w:pPr>
      <w:keepNext/>
      <w:keepLines/>
      <w:overflowPunct w:val="0"/>
      <w:autoSpaceDE w:val="0"/>
      <w:autoSpaceDN w:val="0"/>
      <w:adjustRightInd w:val="0"/>
      <w:snapToGrid w:val="0"/>
      <w:jc w:val="center"/>
      <w:textAlignment w:val="baseline"/>
    </w:pPr>
    <w:rPr>
      <w:rFonts w:eastAsia="SimSun"/>
      <w:kern w:val="2"/>
      <w:lang w:eastAsia="en-GB"/>
    </w:rPr>
  </w:style>
  <w:style w:type="character" w:customStyle="1" w:styleId="EXChar">
    <w:name w:val="EX Char"/>
    <w:link w:val="EX"/>
    <w:locked/>
    <w:rsid w:val="004C3481"/>
    <w:rPr>
      <w:lang w:eastAsia="en-US"/>
    </w:rPr>
  </w:style>
  <w:style w:type="paragraph" w:customStyle="1" w:styleId="FL">
    <w:name w:val="FL"/>
    <w:basedOn w:val="Normal"/>
    <w:rsid w:val="004C348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C348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C348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4C3481"/>
    <w:rPr>
      <w:rFonts w:ascii="Arial" w:eastAsia="Malgun Gothic" w:hAnsi="Arial"/>
      <w:lang w:eastAsia="ko-KR"/>
    </w:rPr>
  </w:style>
  <w:style w:type="paragraph" w:styleId="TOCHeading">
    <w:name w:val="TOC Heading"/>
    <w:basedOn w:val="Heading1"/>
    <w:next w:val="Normal"/>
    <w:uiPriority w:val="39"/>
    <w:unhideWhenUsed/>
    <w:qFormat/>
    <w:rsid w:val="004C34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rsid w:val="004C3481"/>
    <w:rPr>
      <w:noProof/>
      <w:lang w:eastAsia="en-US"/>
    </w:rPr>
  </w:style>
  <w:style w:type="numbering" w:customStyle="1" w:styleId="NoList1">
    <w:name w:val="No List1"/>
    <w:next w:val="NoList"/>
    <w:uiPriority w:val="99"/>
    <w:semiHidden/>
    <w:unhideWhenUsed/>
    <w:rsid w:val="004C348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C3481"/>
    <w:rPr>
      <w:rFonts w:ascii="Arial" w:hAnsi="Arial"/>
      <w:sz w:val="36"/>
      <w:lang w:eastAsia="en-US"/>
    </w:rPr>
  </w:style>
  <w:style w:type="character" w:customStyle="1" w:styleId="Heading6Char">
    <w:name w:val="Heading 6 Char"/>
    <w:aliases w:val="T1 Char,Header 6 Char"/>
    <w:link w:val="Heading6"/>
    <w:rsid w:val="004C3481"/>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C3481"/>
    <w:rPr>
      <w:rFonts w:ascii="Arial" w:hAnsi="Arial"/>
      <w:b/>
      <w:noProof/>
      <w:sz w:val="18"/>
      <w:lang w:eastAsia="ja-JP"/>
    </w:rPr>
  </w:style>
  <w:style w:type="character" w:customStyle="1" w:styleId="H6Char">
    <w:name w:val="H6 Char"/>
    <w:link w:val="H6"/>
    <w:rsid w:val="004C3481"/>
    <w:rPr>
      <w:rFonts w:ascii="Arial" w:hAnsi="Arial"/>
      <w:lang w:eastAsia="en-US"/>
    </w:rPr>
  </w:style>
  <w:style w:type="character" w:customStyle="1" w:styleId="fontstyle01">
    <w:name w:val="fontstyle01"/>
    <w:rsid w:val="004C348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481"/>
  </w:style>
  <w:style w:type="numbering" w:customStyle="1" w:styleId="NoList3">
    <w:name w:val="No List3"/>
    <w:next w:val="NoList"/>
    <w:uiPriority w:val="99"/>
    <w:semiHidden/>
    <w:unhideWhenUsed/>
    <w:rsid w:val="004C3481"/>
  </w:style>
  <w:style w:type="numbering" w:customStyle="1" w:styleId="NoList4">
    <w:name w:val="No List4"/>
    <w:next w:val="NoList"/>
    <w:uiPriority w:val="99"/>
    <w:semiHidden/>
    <w:unhideWhenUsed/>
    <w:rsid w:val="004C3481"/>
  </w:style>
  <w:style w:type="table" w:customStyle="1" w:styleId="TableGrid1">
    <w:name w:val="Table Grid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4C3481"/>
    <w:rPr>
      <w:rFonts w:ascii="Arial" w:hAnsi="Arial"/>
      <w:b/>
      <w:i/>
      <w:noProof/>
      <w:sz w:val="18"/>
      <w:lang w:eastAsia="ja-JP"/>
    </w:rPr>
  </w:style>
  <w:style w:type="numbering" w:customStyle="1" w:styleId="NoList5">
    <w:name w:val="No List5"/>
    <w:next w:val="NoList"/>
    <w:uiPriority w:val="99"/>
    <w:semiHidden/>
    <w:unhideWhenUsed/>
    <w:rsid w:val="004C3481"/>
  </w:style>
  <w:style w:type="character" w:customStyle="1" w:styleId="Heading7Char">
    <w:name w:val="Heading 7 Char"/>
    <w:link w:val="Heading7"/>
    <w:rsid w:val="004C3481"/>
    <w:rPr>
      <w:rFonts w:ascii="Arial" w:hAnsi="Arial"/>
      <w:lang w:eastAsia="en-US"/>
    </w:rPr>
  </w:style>
  <w:style w:type="character" w:customStyle="1" w:styleId="Heading8Char">
    <w:name w:val="Heading 8 Char"/>
    <w:link w:val="Heading8"/>
    <w:rsid w:val="004C3481"/>
    <w:rPr>
      <w:rFonts w:ascii="Arial" w:hAnsi="Arial"/>
      <w:sz w:val="36"/>
      <w:lang w:eastAsia="en-US"/>
    </w:rPr>
  </w:style>
  <w:style w:type="character" w:customStyle="1" w:styleId="Heading9Char">
    <w:name w:val="Heading 9 Char"/>
    <w:link w:val="Heading9"/>
    <w:rsid w:val="004C3481"/>
    <w:rPr>
      <w:rFonts w:ascii="Arial" w:hAnsi="Arial"/>
      <w:sz w:val="36"/>
      <w:lang w:eastAsia="en-US"/>
    </w:rPr>
  </w:style>
  <w:style w:type="table" w:customStyle="1" w:styleId="TableGrid2">
    <w:name w:val="Table Grid2"/>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C3481"/>
  </w:style>
  <w:style w:type="numbering" w:customStyle="1" w:styleId="NoList21">
    <w:name w:val="No List21"/>
    <w:next w:val="NoList"/>
    <w:uiPriority w:val="99"/>
    <w:semiHidden/>
    <w:unhideWhenUsed/>
    <w:rsid w:val="004C3481"/>
  </w:style>
  <w:style w:type="numbering" w:customStyle="1" w:styleId="NoList31">
    <w:name w:val="No List31"/>
    <w:next w:val="NoList"/>
    <w:uiPriority w:val="99"/>
    <w:semiHidden/>
    <w:unhideWhenUsed/>
    <w:rsid w:val="004C3481"/>
  </w:style>
  <w:style w:type="numbering" w:customStyle="1" w:styleId="NoList41">
    <w:name w:val="No List41"/>
    <w:next w:val="NoList"/>
    <w:uiPriority w:val="99"/>
    <w:semiHidden/>
    <w:unhideWhenUsed/>
    <w:rsid w:val="004C3481"/>
  </w:style>
  <w:style w:type="table" w:customStyle="1" w:styleId="TableGrid11">
    <w:name w:val="Table Grid11"/>
    <w:basedOn w:val="TableNormal"/>
    <w:next w:val="TableGrid"/>
    <w:uiPriority w:val="39"/>
    <w:rsid w:val="004C34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481"/>
  </w:style>
  <w:style w:type="table" w:customStyle="1" w:styleId="TableGrid3">
    <w:name w:val="Table Grid3"/>
    <w:basedOn w:val="TableNormal"/>
    <w:next w:val="TableGrid"/>
    <w:rsid w:val="004C348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C3481"/>
    <w:rPr>
      <w:i/>
      <w:iCs/>
    </w:rPr>
  </w:style>
  <w:style w:type="paragraph" w:customStyle="1" w:styleId="tdoc-header">
    <w:name w:val="tdoc-header"/>
    <w:rsid w:val="004C3481"/>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481"/>
    <w:rPr>
      <w:rFonts w:ascii="Arial" w:hAnsi="Arial"/>
      <w:sz w:val="32"/>
      <w:lang w:val="en-GB" w:eastAsia="en-US" w:bidi="ar-SA"/>
    </w:rPr>
  </w:style>
  <w:style w:type="paragraph" w:customStyle="1" w:styleId="References">
    <w:name w:val="References"/>
    <w:basedOn w:val="Normal"/>
    <w:rsid w:val="004C3481"/>
    <w:pPr>
      <w:numPr>
        <w:numId w:val="20"/>
      </w:numPr>
      <w:autoSpaceDE w:val="0"/>
      <w:autoSpaceDN w:val="0"/>
      <w:snapToGrid w:val="0"/>
      <w:spacing w:after="60"/>
      <w:jc w:val="both"/>
    </w:pPr>
    <w:rPr>
      <w:rFonts w:eastAsia="SimSun"/>
      <w:szCs w:val="16"/>
      <w:lang w:val="en-US"/>
    </w:rPr>
  </w:style>
  <w:style w:type="paragraph" w:customStyle="1" w:styleId="Default">
    <w:name w:val="Default"/>
    <w:rsid w:val="004C3481"/>
    <w:pPr>
      <w:autoSpaceDE w:val="0"/>
      <w:autoSpaceDN w:val="0"/>
      <w:adjustRightInd w:val="0"/>
    </w:pPr>
    <w:rPr>
      <w:rFonts w:ascii="Arial" w:eastAsia="SimSun" w:hAnsi="Arial" w:cs="Arial"/>
      <w:color w:val="000000"/>
      <w:sz w:val="24"/>
      <w:szCs w:val="24"/>
    </w:rPr>
  </w:style>
  <w:style w:type="paragraph" w:styleId="BodyText">
    <w:name w:val="Body Text"/>
    <w:basedOn w:val="Normal"/>
    <w:link w:val="BodyTextChar"/>
    <w:rsid w:val="004C3481"/>
    <w:rPr>
      <w:rFonts w:ascii="CG Times (WN)" w:eastAsia="MS Mincho" w:hAnsi="CG Times (WN)"/>
    </w:rPr>
  </w:style>
  <w:style w:type="character" w:customStyle="1" w:styleId="BodyTextChar">
    <w:name w:val="Body Text Char"/>
    <w:basedOn w:val="DefaultParagraphFont"/>
    <w:link w:val="BodyText"/>
    <w:rsid w:val="004C3481"/>
    <w:rPr>
      <w:rFonts w:ascii="CG Times (WN)" w:eastAsia="MS Mincho" w:hAnsi="CG Times (WN)"/>
      <w:lang w:eastAsia="en-US"/>
    </w:rPr>
  </w:style>
  <w:style w:type="character" w:customStyle="1" w:styleId="font4">
    <w:name w:val="font4"/>
    <w:basedOn w:val="DefaultParagraphFont"/>
    <w:qFormat/>
    <w:rsid w:val="004C3481"/>
  </w:style>
  <w:style w:type="paragraph" w:styleId="BalloonText">
    <w:name w:val="Balloon Text"/>
    <w:basedOn w:val="Normal"/>
    <w:link w:val="BalloonTextChar"/>
    <w:semiHidden/>
    <w:unhideWhenUsed/>
    <w:rsid w:val="00B36631"/>
    <w:pPr>
      <w:spacing w:after="0"/>
    </w:pPr>
    <w:rPr>
      <w:sz w:val="18"/>
      <w:szCs w:val="18"/>
    </w:rPr>
  </w:style>
  <w:style w:type="character" w:customStyle="1" w:styleId="BalloonTextChar">
    <w:name w:val="Balloon Text Char"/>
    <w:basedOn w:val="DefaultParagraphFont"/>
    <w:link w:val="BalloonText"/>
    <w:semiHidden/>
    <w:rsid w:val="00B3663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828611">
      <w:bodyDiv w:val="1"/>
      <w:marLeft w:val="0"/>
      <w:marRight w:val="0"/>
      <w:marTop w:val="0"/>
      <w:marBottom w:val="0"/>
      <w:divBdr>
        <w:top w:val="none" w:sz="0" w:space="0" w:color="auto"/>
        <w:left w:val="none" w:sz="0" w:space="0" w:color="auto"/>
        <w:bottom w:val="none" w:sz="0" w:space="0" w:color="auto"/>
        <w:right w:val="none" w:sz="0" w:space="0" w:color="auto"/>
      </w:divBdr>
      <w:divsChild>
        <w:div w:id="2076704841">
          <w:marLeft w:val="0"/>
          <w:marRight w:val="0"/>
          <w:marTop w:val="0"/>
          <w:marBottom w:val="0"/>
          <w:divBdr>
            <w:top w:val="none" w:sz="0" w:space="0" w:color="auto"/>
            <w:left w:val="none" w:sz="0" w:space="0" w:color="auto"/>
            <w:bottom w:val="none" w:sz="0" w:space="0" w:color="auto"/>
            <w:right w:val="none" w:sz="0" w:space="0" w:color="auto"/>
          </w:divBdr>
        </w:div>
        <w:div w:id="1995253367">
          <w:marLeft w:val="0"/>
          <w:marRight w:val="0"/>
          <w:marTop w:val="0"/>
          <w:marBottom w:val="0"/>
          <w:divBdr>
            <w:top w:val="none" w:sz="0" w:space="0" w:color="auto"/>
            <w:left w:val="none" w:sz="0" w:space="0" w:color="auto"/>
            <w:bottom w:val="none" w:sz="0" w:space="0" w:color="auto"/>
            <w:right w:val="none" w:sz="0" w:space="0" w:color="auto"/>
          </w:divBdr>
        </w:div>
        <w:div w:id="812720877">
          <w:marLeft w:val="0"/>
          <w:marRight w:val="0"/>
          <w:marTop w:val="0"/>
          <w:marBottom w:val="0"/>
          <w:divBdr>
            <w:top w:val="none" w:sz="0" w:space="0" w:color="auto"/>
            <w:left w:val="none" w:sz="0" w:space="0" w:color="auto"/>
            <w:bottom w:val="none" w:sz="0" w:space="0" w:color="auto"/>
            <w:right w:val="none" w:sz="0" w:space="0" w:color="auto"/>
          </w:divBdr>
        </w:div>
        <w:div w:id="1857185583">
          <w:marLeft w:val="0"/>
          <w:marRight w:val="0"/>
          <w:marTop w:val="0"/>
          <w:marBottom w:val="0"/>
          <w:divBdr>
            <w:top w:val="none" w:sz="0" w:space="0" w:color="auto"/>
            <w:left w:val="none" w:sz="0" w:space="0" w:color="auto"/>
            <w:bottom w:val="none" w:sz="0" w:space="0" w:color="auto"/>
            <w:right w:val="none" w:sz="0" w:space="0" w:color="auto"/>
          </w:divBdr>
        </w:div>
        <w:div w:id="294141620">
          <w:marLeft w:val="0"/>
          <w:marRight w:val="0"/>
          <w:marTop w:val="0"/>
          <w:marBottom w:val="0"/>
          <w:divBdr>
            <w:top w:val="none" w:sz="0" w:space="0" w:color="auto"/>
            <w:left w:val="none" w:sz="0" w:space="0" w:color="auto"/>
            <w:bottom w:val="none" w:sz="0" w:space="0" w:color="auto"/>
            <w:right w:val="none" w:sz="0" w:space="0" w:color="auto"/>
          </w:divBdr>
        </w:div>
        <w:div w:id="542399611">
          <w:marLeft w:val="0"/>
          <w:marRight w:val="0"/>
          <w:marTop w:val="0"/>
          <w:marBottom w:val="0"/>
          <w:divBdr>
            <w:top w:val="none" w:sz="0" w:space="0" w:color="auto"/>
            <w:left w:val="none" w:sz="0" w:space="0" w:color="auto"/>
            <w:bottom w:val="none" w:sz="0" w:space="0" w:color="auto"/>
            <w:right w:val="none" w:sz="0" w:space="0" w:color="auto"/>
          </w:divBdr>
        </w:div>
        <w:div w:id="1844540521">
          <w:marLeft w:val="0"/>
          <w:marRight w:val="0"/>
          <w:marTop w:val="0"/>
          <w:marBottom w:val="0"/>
          <w:divBdr>
            <w:top w:val="none" w:sz="0" w:space="0" w:color="auto"/>
            <w:left w:val="none" w:sz="0" w:space="0" w:color="auto"/>
            <w:bottom w:val="none" w:sz="0" w:space="0" w:color="auto"/>
            <w:right w:val="none" w:sz="0" w:space="0" w:color="auto"/>
          </w:divBdr>
        </w:div>
        <w:div w:id="503324883">
          <w:marLeft w:val="0"/>
          <w:marRight w:val="0"/>
          <w:marTop w:val="0"/>
          <w:marBottom w:val="0"/>
          <w:divBdr>
            <w:top w:val="none" w:sz="0" w:space="0" w:color="auto"/>
            <w:left w:val="none" w:sz="0" w:space="0" w:color="auto"/>
            <w:bottom w:val="none" w:sz="0" w:space="0" w:color="auto"/>
            <w:right w:val="none" w:sz="0" w:space="0" w:color="auto"/>
          </w:divBdr>
        </w:div>
        <w:div w:id="1225288352">
          <w:marLeft w:val="0"/>
          <w:marRight w:val="0"/>
          <w:marTop w:val="0"/>
          <w:marBottom w:val="0"/>
          <w:divBdr>
            <w:top w:val="none" w:sz="0" w:space="0" w:color="auto"/>
            <w:left w:val="none" w:sz="0" w:space="0" w:color="auto"/>
            <w:bottom w:val="none" w:sz="0" w:space="0" w:color="auto"/>
            <w:right w:val="none" w:sz="0" w:space="0" w:color="auto"/>
          </w:divBdr>
        </w:div>
        <w:div w:id="531070628">
          <w:marLeft w:val="0"/>
          <w:marRight w:val="0"/>
          <w:marTop w:val="0"/>
          <w:marBottom w:val="0"/>
          <w:divBdr>
            <w:top w:val="none" w:sz="0" w:space="0" w:color="auto"/>
            <w:left w:val="none" w:sz="0" w:space="0" w:color="auto"/>
            <w:bottom w:val="none" w:sz="0" w:space="0" w:color="auto"/>
            <w:right w:val="none" w:sz="0" w:space="0" w:color="auto"/>
          </w:divBdr>
        </w:div>
        <w:div w:id="395974356">
          <w:marLeft w:val="0"/>
          <w:marRight w:val="0"/>
          <w:marTop w:val="0"/>
          <w:marBottom w:val="0"/>
          <w:divBdr>
            <w:top w:val="none" w:sz="0" w:space="0" w:color="auto"/>
            <w:left w:val="none" w:sz="0" w:space="0" w:color="auto"/>
            <w:bottom w:val="none" w:sz="0" w:space="0" w:color="auto"/>
            <w:right w:val="none" w:sz="0" w:space="0" w:color="auto"/>
          </w:divBdr>
        </w:div>
        <w:div w:id="1465543952">
          <w:marLeft w:val="0"/>
          <w:marRight w:val="0"/>
          <w:marTop w:val="0"/>
          <w:marBottom w:val="0"/>
          <w:divBdr>
            <w:top w:val="none" w:sz="0" w:space="0" w:color="auto"/>
            <w:left w:val="none" w:sz="0" w:space="0" w:color="auto"/>
            <w:bottom w:val="none" w:sz="0" w:space="0" w:color="auto"/>
            <w:right w:val="none" w:sz="0" w:space="0" w:color="auto"/>
          </w:divBdr>
        </w:div>
        <w:div w:id="498346286">
          <w:marLeft w:val="0"/>
          <w:marRight w:val="0"/>
          <w:marTop w:val="0"/>
          <w:marBottom w:val="0"/>
          <w:divBdr>
            <w:top w:val="none" w:sz="0" w:space="0" w:color="auto"/>
            <w:left w:val="none" w:sz="0" w:space="0" w:color="auto"/>
            <w:bottom w:val="none" w:sz="0" w:space="0" w:color="auto"/>
            <w:right w:val="none" w:sz="0" w:space="0" w:color="auto"/>
          </w:divBdr>
        </w:div>
        <w:div w:id="1887600282">
          <w:marLeft w:val="0"/>
          <w:marRight w:val="0"/>
          <w:marTop w:val="0"/>
          <w:marBottom w:val="0"/>
          <w:divBdr>
            <w:top w:val="none" w:sz="0" w:space="0" w:color="auto"/>
            <w:left w:val="none" w:sz="0" w:space="0" w:color="auto"/>
            <w:bottom w:val="none" w:sz="0" w:space="0" w:color="auto"/>
            <w:right w:val="none" w:sz="0" w:space="0" w:color="auto"/>
          </w:divBdr>
        </w:div>
        <w:div w:id="224603997">
          <w:marLeft w:val="0"/>
          <w:marRight w:val="0"/>
          <w:marTop w:val="0"/>
          <w:marBottom w:val="0"/>
          <w:divBdr>
            <w:top w:val="none" w:sz="0" w:space="0" w:color="auto"/>
            <w:left w:val="none" w:sz="0" w:space="0" w:color="auto"/>
            <w:bottom w:val="none" w:sz="0" w:space="0" w:color="auto"/>
            <w:right w:val="none" w:sz="0" w:space="0" w:color="auto"/>
          </w:divBdr>
        </w:div>
      </w:divsChild>
    </w:div>
    <w:div w:id="208733682">
      <w:bodyDiv w:val="1"/>
      <w:marLeft w:val="0"/>
      <w:marRight w:val="0"/>
      <w:marTop w:val="0"/>
      <w:marBottom w:val="0"/>
      <w:divBdr>
        <w:top w:val="none" w:sz="0" w:space="0" w:color="auto"/>
        <w:left w:val="none" w:sz="0" w:space="0" w:color="auto"/>
        <w:bottom w:val="none" w:sz="0" w:space="0" w:color="auto"/>
        <w:right w:val="none" w:sz="0" w:space="0" w:color="auto"/>
      </w:divBdr>
      <w:divsChild>
        <w:div w:id="1423800752">
          <w:marLeft w:val="0"/>
          <w:marRight w:val="0"/>
          <w:marTop w:val="0"/>
          <w:marBottom w:val="0"/>
          <w:divBdr>
            <w:top w:val="none" w:sz="0" w:space="0" w:color="auto"/>
            <w:left w:val="none" w:sz="0" w:space="0" w:color="auto"/>
            <w:bottom w:val="none" w:sz="0" w:space="0" w:color="auto"/>
            <w:right w:val="none" w:sz="0" w:space="0" w:color="auto"/>
          </w:divBdr>
          <w:divsChild>
            <w:div w:id="1952785506">
              <w:marLeft w:val="0"/>
              <w:marRight w:val="0"/>
              <w:marTop w:val="0"/>
              <w:marBottom w:val="0"/>
              <w:divBdr>
                <w:top w:val="none" w:sz="0" w:space="0" w:color="auto"/>
                <w:left w:val="none" w:sz="0" w:space="0" w:color="auto"/>
                <w:bottom w:val="none" w:sz="0" w:space="0" w:color="auto"/>
                <w:right w:val="none" w:sz="0" w:space="0" w:color="auto"/>
              </w:divBdr>
              <w:divsChild>
                <w:div w:id="102914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714561">
      <w:bodyDiv w:val="1"/>
      <w:marLeft w:val="0"/>
      <w:marRight w:val="0"/>
      <w:marTop w:val="0"/>
      <w:marBottom w:val="0"/>
      <w:divBdr>
        <w:top w:val="none" w:sz="0" w:space="0" w:color="auto"/>
        <w:left w:val="none" w:sz="0" w:space="0" w:color="auto"/>
        <w:bottom w:val="none" w:sz="0" w:space="0" w:color="auto"/>
        <w:right w:val="none" w:sz="0" w:space="0" w:color="auto"/>
      </w:divBdr>
    </w:div>
    <w:div w:id="352389314">
      <w:bodyDiv w:val="1"/>
      <w:marLeft w:val="0"/>
      <w:marRight w:val="0"/>
      <w:marTop w:val="0"/>
      <w:marBottom w:val="0"/>
      <w:divBdr>
        <w:top w:val="none" w:sz="0" w:space="0" w:color="auto"/>
        <w:left w:val="none" w:sz="0" w:space="0" w:color="auto"/>
        <w:bottom w:val="none" w:sz="0" w:space="0" w:color="auto"/>
        <w:right w:val="none" w:sz="0" w:space="0" w:color="auto"/>
      </w:divBdr>
    </w:div>
    <w:div w:id="891421868">
      <w:bodyDiv w:val="1"/>
      <w:marLeft w:val="0"/>
      <w:marRight w:val="0"/>
      <w:marTop w:val="0"/>
      <w:marBottom w:val="0"/>
      <w:divBdr>
        <w:top w:val="none" w:sz="0" w:space="0" w:color="auto"/>
        <w:left w:val="none" w:sz="0" w:space="0" w:color="auto"/>
        <w:bottom w:val="none" w:sz="0" w:space="0" w:color="auto"/>
        <w:right w:val="none" w:sz="0" w:space="0" w:color="auto"/>
      </w:divBdr>
      <w:divsChild>
        <w:div w:id="1673527789">
          <w:marLeft w:val="0"/>
          <w:marRight w:val="0"/>
          <w:marTop w:val="0"/>
          <w:marBottom w:val="0"/>
          <w:divBdr>
            <w:top w:val="none" w:sz="0" w:space="0" w:color="auto"/>
            <w:left w:val="none" w:sz="0" w:space="0" w:color="auto"/>
            <w:bottom w:val="none" w:sz="0" w:space="0" w:color="auto"/>
            <w:right w:val="none" w:sz="0" w:space="0" w:color="auto"/>
          </w:divBdr>
        </w:div>
        <w:div w:id="2040473015">
          <w:marLeft w:val="0"/>
          <w:marRight w:val="0"/>
          <w:marTop w:val="0"/>
          <w:marBottom w:val="0"/>
          <w:divBdr>
            <w:top w:val="none" w:sz="0" w:space="0" w:color="auto"/>
            <w:left w:val="none" w:sz="0" w:space="0" w:color="auto"/>
            <w:bottom w:val="none" w:sz="0" w:space="0" w:color="auto"/>
            <w:right w:val="none" w:sz="0" w:space="0" w:color="auto"/>
          </w:divBdr>
        </w:div>
        <w:div w:id="1775587514">
          <w:marLeft w:val="0"/>
          <w:marRight w:val="0"/>
          <w:marTop w:val="0"/>
          <w:marBottom w:val="0"/>
          <w:divBdr>
            <w:top w:val="none" w:sz="0" w:space="0" w:color="auto"/>
            <w:left w:val="none" w:sz="0" w:space="0" w:color="auto"/>
            <w:bottom w:val="none" w:sz="0" w:space="0" w:color="auto"/>
            <w:right w:val="none" w:sz="0" w:space="0" w:color="auto"/>
          </w:divBdr>
        </w:div>
        <w:div w:id="406802502">
          <w:marLeft w:val="0"/>
          <w:marRight w:val="0"/>
          <w:marTop w:val="0"/>
          <w:marBottom w:val="0"/>
          <w:divBdr>
            <w:top w:val="none" w:sz="0" w:space="0" w:color="auto"/>
            <w:left w:val="none" w:sz="0" w:space="0" w:color="auto"/>
            <w:bottom w:val="none" w:sz="0" w:space="0" w:color="auto"/>
            <w:right w:val="none" w:sz="0" w:space="0" w:color="auto"/>
          </w:divBdr>
        </w:div>
        <w:div w:id="702439625">
          <w:marLeft w:val="0"/>
          <w:marRight w:val="0"/>
          <w:marTop w:val="0"/>
          <w:marBottom w:val="0"/>
          <w:divBdr>
            <w:top w:val="none" w:sz="0" w:space="0" w:color="auto"/>
            <w:left w:val="none" w:sz="0" w:space="0" w:color="auto"/>
            <w:bottom w:val="none" w:sz="0" w:space="0" w:color="auto"/>
            <w:right w:val="none" w:sz="0" w:space="0" w:color="auto"/>
          </w:divBdr>
        </w:div>
        <w:div w:id="836925053">
          <w:marLeft w:val="0"/>
          <w:marRight w:val="0"/>
          <w:marTop w:val="0"/>
          <w:marBottom w:val="0"/>
          <w:divBdr>
            <w:top w:val="none" w:sz="0" w:space="0" w:color="auto"/>
            <w:left w:val="none" w:sz="0" w:space="0" w:color="auto"/>
            <w:bottom w:val="none" w:sz="0" w:space="0" w:color="auto"/>
            <w:right w:val="none" w:sz="0" w:space="0" w:color="auto"/>
          </w:divBdr>
        </w:div>
        <w:div w:id="1215266120">
          <w:marLeft w:val="0"/>
          <w:marRight w:val="0"/>
          <w:marTop w:val="0"/>
          <w:marBottom w:val="0"/>
          <w:divBdr>
            <w:top w:val="none" w:sz="0" w:space="0" w:color="auto"/>
            <w:left w:val="none" w:sz="0" w:space="0" w:color="auto"/>
            <w:bottom w:val="none" w:sz="0" w:space="0" w:color="auto"/>
            <w:right w:val="none" w:sz="0" w:space="0" w:color="auto"/>
          </w:divBdr>
        </w:div>
        <w:div w:id="1327174316">
          <w:marLeft w:val="0"/>
          <w:marRight w:val="0"/>
          <w:marTop w:val="0"/>
          <w:marBottom w:val="0"/>
          <w:divBdr>
            <w:top w:val="none" w:sz="0" w:space="0" w:color="auto"/>
            <w:left w:val="none" w:sz="0" w:space="0" w:color="auto"/>
            <w:bottom w:val="none" w:sz="0" w:space="0" w:color="auto"/>
            <w:right w:val="none" w:sz="0" w:space="0" w:color="auto"/>
          </w:divBdr>
        </w:div>
        <w:div w:id="1613249707">
          <w:marLeft w:val="0"/>
          <w:marRight w:val="0"/>
          <w:marTop w:val="0"/>
          <w:marBottom w:val="0"/>
          <w:divBdr>
            <w:top w:val="none" w:sz="0" w:space="0" w:color="auto"/>
            <w:left w:val="none" w:sz="0" w:space="0" w:color="auto"/>
            <w:bottom w:val="none" w:sz="0" w:space="0" w:color="auto"/>
            <w:right w:val="none" w:sz="0" w:space="0" w:color="auto"/>
          </w:divBdr>
        </w:div>
        <w:div w:id="1974288089">
          <w:marLeft w:val="0"/>
          <w:marRight w:val="0"/>
          <w:marTop w:val="0"/>
          <w:marBottom w:val="0"/>
          <w:divBdr>
            <w:top w:val="none" w:sz="0" w:space="0" w:color="auto"/>
            <w:left w:val="none" w:sz="0" w:space="0" w:color="auto"/>
            <w:bottom w:val="none" w:sz="0" w:space="0" w:color="auto"/>
            <w:right w:val="none" w:sz="0" w:space="0" w:color="auto"/>
          </w:divBdr>
        </w:div>
        <w:div w:id="502814631">
          <w:marLeft w:val="0"/>
          <w:marRight w:val="0"/>
          <w:marTop w:val="0"/>
          <w:marBottom w:val="0"/>
          <w:divBdr>
            <w:top w:val="none" w:sz="0" w:space="0" w:color="auto"/>
            <w:left w:val="none" w:sz="0" w:space="0" w:color="auto"/>
            <w:bottom w:val="none" w:sz="0" w:space="0" w:color="auto"/>
            <w:right w:val="none" w:sz="0" w:space="0" w:color="auto"/>
          </w:divBdr>
        </w:div>
        <w:div w:id="1373648075">
          <w:marLeft w:val="0"/>
          <w:marRight w:val="0"/>
          <w:marTop w:val="0"/>
          <w:marBottom w:val="0"/>
          <w:divBdr>
            <w:top w:val="none" w:sz="0" w:space="0" w:color="auto"/>
            <w:left w:val="none" w:sz="0" w:space="0" w:color="auto"/>
            <w:bottom w:val="none" w:sz="0" w:space="0" w:color="auto"/>
            <w:right w:val="none" w:sz="0" w:space="0" w:color="auto"/>
          </w:divBdr>
        </w:div>
        <w:div w:id="1560701009">
          <w:marLeft w:val="0"/>
          <w:marRight w:val="0"/>
          <w:marTop w:val="0"/>
          <w:marBottom w:val="0"/>
          <w:divBdr>
            <w:top w:val="none" w:sz="0" w:space="0" w:color="auto"/>
            <w:left w:val="none" w:sz="0" w:space="0" w:color="auto"/>
            <w:bottom w:val="none" w:sz="0" w:space="0" w:color="auto"/>
            <w:right w:val="none" w:sz="0" w:space="0" w:color="auto"/>
          </w:divBdr>
        </w:div>
        <w:div w:id="185097460">
          <w:marLeft w:val="0"/>
          <w:marRight w:val="0"/>
          <w:marTop w:val="0"/>
          <w:marBottom w:val="0"/>
          <w:divBdr>
            <w:top w:val="none" w:sz="0" w:space="0" w:color="auto"/>
            <w:left w:val="none" w:sz="0" w:space="0" w:color="auto"/>
            <w:bottom w:val="none" w:sz="0" w:space="0" w:color="auto"/>
            <w:right w:val="none" w:sz="0" w:space="0" w:color="auto"/>
          </w:divBdr>
        </w:div>
        <w:div w:id="482818137">
          <w:marLeft w:val="0"/>
          <w:marRight w:val="0"/>
          <w:marTop w:val="0"/>
          <w:marBottom w:val="0"/>
          <w:divBdr>
            <w:top w:val="none" w:sz="0" w:space="0" w:color="auto"/>
            <w:left w:val="none" w:sz="0" w:space="0" w:color="auto"/>
            <w:bottom w:val="none" w:sz="0" w:space="0" w:color="auto"/>
            <w:right w:val="none" w:sz="0" w:space="0" w:color="auto"/>
          </w:divBdr>
        </w:div>
      </w:divsChild>
    </w:div>
    <w:div w:id="1080761067">
      <w:bodyDiv w:val="1"/>
      <w:marLeft w:val="0"/>
      <w:marRight w:val="0"/>
      <w:marTop w:val="0"/>
      <w:marBottom w:val="0"/>
      <w:divBdr>
        <w:top w:val="none" w:sz="0" w:space="0" w:color="auto"/>
        <w:left w:val="none" w:sz="0" w:space="0" w:color="auto"/>
        <w:bottom w:val="none" w:sz="0" w:space="0" w:color="auto"/>
        <w:right w:val="none" w:sz="0" w:space="0" w:color="auto"/>
      </w:divBdr>
      <w:divsChild>
        <w:div w:id="1968467941">
          <w:marLeft w:val="0"/>
          <w:marRight w:val="0"/>
          <w:marTop w:val="0"/>
          <w:marBottom w:val="0"/>
          <w:divBdr>
            <w:top w:val="none" w:sz="0" w:space="0" w:color="auto"/>
            <w:left w:val="none" w:sz="0" w:space="0" w:color="auto"/>
            <w:bottom w:val="none" w:sz="0" w:space="0" w:color="auto"/>
            <w:right w:val="none" w:sz="0" w:space="0" w:color="auto"/>
          </w:divBdr>
          <w:divsChild>
            <w:div w:id="1254244336">
              <w:marLeft w:val="0"/>
              <w:marRight w:val="0"/>
              <w:marTop w:val="0"/>
              <w:marBottom w:val="0"/>
              <w:divBdr>
                <w:top w:val="none" w:sz="0" w:space="0" w:color="auto"/>
                <w:left w:val="none" w:sz="0" w:space="0" w:color="auto"/>
                <w:bottom w:val="none" w:sz="0" w:space="0" w:color="auto"/>
                <w:right w:val="none" w:sz="0" w:space="0" w:color="auto"/>
              </w:divBdr>
              <w:divsChild>
                <w:div w:id="79521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374869">
      <w:bodyDiv w:val="1"/>
      <w:marLeft w:val="0"/>
      <w:marRight w:val="0"/>
      <w:marTop w:val="0"/>
      <w:marBottom w:val="0"/>
      <w:divBdr>
        <w:top w:val="none" w:sz="0" w:space="0" w:color="auto"/>
        <w:left w:val="none" w:sz="0" w:space="0" w:color="auto"/>
        <w:bottom w:val="none" w:sz="0" w:space="0" w:color="auto"/>
        <w:right w:val="none" w:sz="0" w:space="0" w:color="auto"/>
      </w:divBdr>
      <w:divsChild>
        <w:div w:id="1309624592">
          <w:marLeft w:val="0"/>
          <w:marRight w:val="0"/>
          <w:marTop w:val="0"/>
          <w:marBottom w:val="0"/>
          <w:divBdr>
            <w:top w:val="none" w:sz="0" w:space="0" w:color="auto"/>
            <w:left w:val="none" w:sz="0" w:space="0" w:color="auto"/>
            <w:bottom w:val="none" w:sz="0" w:space="0" w:color="auto"/>
            <w:right w:val="none" w:sz="0" w:space="0" w:color="auto"/>
          </w:divBdr>
          <w:divsChild>
            <w:div w:id="1811363578">
              <w:marLeft w:val="0"/>
              <w:marRight w:val="0"/>
              <w:marTop w:val="0"/>
              <w:marBottom w:val="0"/>
              <w:divBdr>
                <w:top w:val="none" w:sz="0" w:space="0" w:color="auto"/>
                <w:left w:val="none" w:sz="0" w:space="0" w:color="auto"/>
                <w:bottom w:val="none" w:sz="0" w:space="0" w:color="auto"/>
                <w:right w:val="none" w:sz="0" w:space="0" w:color="auto"/>
              </w:divBdr>
              <w:divsChild>
                <w:div w:id="1270158390">
                  <w:marLeft w:val="0"/>
                  <w:marRight w:val="0"/>
                  <w:marTop w:val="0"/>
                  <w:marBottom w:val="0"/>
                  <w:divBdr>
                    <w:top w:val="none" w:sz="0" w:space="0" w:color="auto"/>
                    <w:left w:val="none" w:sz="0" w:space="0" w:color="auto"/>
                    <w:bottom w:val="none" w:sz="0" w:space="0" w:color="auto"/>
                    <w:right w:val="none" w:sz="0" w:space="0" w:color="auto"/>
                  </w:divBdr>
                </w:div>
              </w:divsChild>
            </w:div>
            <w:div w:id="1973437153">
              <w:marLeft w:val="0"/>
              <w:marRight w:val="0"/>
              <w:marTop w:val="0"/>
              <w:marBottom w:val="0"/>
              <w:divBdr>
                <w:top w:val="none" w:sz="0" w:space="0" w:color="auto"/>
                <w:left w:val="none" w:sz="0" w:space="0" w:color="auto"/>
                <w:bottom w:val="none" w:sz="0" w:space="0" w:color="auto"/>
                <w:right w:val="none" w:sz="0" w:space="0" w:color="auto"/>
              </w:divBdr>
              <w:divsChild>
                <w:div w:id="49218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76302">
          <w:marLeft w:val="0"/>
          <w:marRight w:val="0"/>
          <w:marTop w:val="0"/>
          <w:marBottom w:val="0"/>
          <w:divBdr>
            <w:top w:val="none" w:sz="0" w:space="0" w:color="auto"/>
            <w:left w:val="none" w:sz="0" w:space="0" w:color="auto"/>
            <w:bottom w:val="none" w:sz="0" w:space="0" w:color="auto"/>
            <w:right w:val="none" w:sz="0" w:space="0" w:color="auto"/>
          </w:divBdr>
          <w:divsChild>
            <w:div w:id="982470989">
              <w:marLeft w:val="0"/>
              <w:marRight w:val="0"/>
              <w:marTop w:val="0"/>
              <w:marBottom w:val="0"/>
              <w:divBdr>
                <w:top w:val="none" w:sz="0" w:space="0" w:color="auto"/>
                <w:left w:val="none" w:sz="0" w:space="0" w:color="auto"/>
                <w:bottom w:val="none" w:sz="0" w:space="0" w:color="auto"/>
                <w:right w:val="none" w:sz="0" w:space="0" w:color="auto"/>
              </w:divBdr>
              <w:divsChild>
                <w:div w:id="136533990">
                  <w:marLeft w:val="0"/>
                  <w:marRight w:val="0"/>
                  <w:marTop w:val="0"/>
                  <w:marBottom w:val="0"/>
                  <w:divBdr>
                    <w:top w:val="none" w:sz="0" w:space="0" w:color="auto"/>
                    <w:left w:val="none" w:sz="0" w:space="0" w:color="auto"/>
                    <w:bottom w:val="none" w:sz="0" w:space="0" w:color="auto"/>
                    <w:right w:val="none" w:sz="0" w:space="0" w:color="auto"/>
                  </w:divBdr>
                </w:div>
              </w:divsChild>
            </w:div>
            <w:div w:id="2113165012">
              <w:marLeft w:val="0"/>
              <w:marRight w:val="0"/>
              <w:marTop w:val="0"/>
              <w:marBottom w:val="0"/>
              <w:divBdr>
                <w:top w:val="none" w:sz="0" w:space="0" w:color="auto"/>
                <w:left w:val="none" w:sz="0" w:space="0" w:color="auto"/>
                <w:bottom w:val="none" w:sz="0" w:space="0" w:color="auto"/>
                <w:right w:val="none" w:sz="0" w:space="0" w:color="auto"/>
              </w:divBdr>
              <w:divsChild>
                <w:div w:id="15395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71071">
      <w:bodyDiv w:val="1"/>
      <w:marLeft w:val="0"/>
      <w:marRight w:val="0"/>
      <w:marTop w:val="0"/>
      <w:marBottom w:val="0"/>
      <w:divBdr>
        <w:top w:val="none" w:sz="0" w:space="0" w:color="auto"/>
        <w:left w:val="none" w:sz="0" w:space="0" w:color="auto"/>
        <w:bottom w:val="none" w:sz="0" w:space="0" w:color="auto"/>
        <w:right w:val="none" w:sz="0" w:space="0" w:color="auto"/>
      </w:divBdr>
      <w:divsChild>
        <w:div w:id="1647275648">
          <w:marLeft w:val="0"/>
          <w:marRight w:val="0"/>
          <w:marTop w:val="0"/>
          <w:marBottom w:val="0"/>
          <w:divBdr>
            <w:top w:val="none" w:sz="0" w:space="0" w:color="auto"/>
            <w:left w:val="none" w:sz="0" w:space="0" w:color="auto"/>
            <w:bottom w:val="none" w:sz="0" w:space="0" w:color="auto"/>
            <w:right w:val="none" w:sz="0" w:space="0" w:color="auto"/>
          </w:divBdr>
          <w:divsChild>
            <w:div w:id="995648914">
              <w:marLeft w:val="0"/>
              <w:marRight w:val="0"/>
              <w:marTop w:val="0"/>
              <w:marBottom w:val="0"/>
              <w:divBdr>
                <w:top w:val="none" w:sz="0" w:space="0" w:color="auto"/>
                <w:left w:val="none" w:sz="0" w:space="0" w:color="auto"/>
                <w:bottom w:val="none" w:sz="0" w:space="0" w:color="auto"/>
                <w:right w:val="none" w:sz="0" w:space="0" w:color="auto"/>
              </w:divBdr>
              <w:divsChild>
                <w:div w:id="1389375369">
                  <w:marLeft w:val="0"/>
                  <w:marRight w:val="0"/>
                  <w:marTop w:val="0"/>
                  <w:marBottom w:val="0"/>
                  <w:divBdr>
                    <w:top w:val="none" w:sz="0" w:space="0" w:color="auto"/>
                    <w:left w:val="none" w:sz="0" w:space="0" w:color="auto"/>
                    <w:bottom w:val="none" w:sz="0" w:space="0" w:color="auto"/>
                    <w:right w:val="none" w:sz="0" w:space="0" w:color="auto"/>
                  </w:divBdr>
                </w:div>
              </w:divsChild>
            </w:div>
            <w:div w:id="1366100305">
              <w:marLeft w:val="0"/>
              <w:marRight w:val="0"/>
              <w:marTop w:val="0"/>
              <w:marBottom w:val="0"/>
              <w:divBdr>
                <w:top w:val="none" w:sz="0" w:space="0" w:color="auto"/>
                <w:left w:val="none" w:sz="0" w:space="0" w:color="auto"/>
                <w:bottom w:val="none" w:sz="0" w:space="0" w:color="auto"/>
                <w:right w:val="none" w:sz="0" w:space="0" w:color="auto"/>
              </w:divBdr>
              <w:divsChild>
                <w:div w:id="105959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8179">
          <w:marLeft w:val="0"/>
          <w:marRight w:val="0"/>
          <w:marTop w:val="0"/>
          <w:marBottom w:val="0"/>
          <w:divBdr>
            <w:top w:val="none" w:sz="0" w:space="0" w:color="auto"/>
            <w:left w:val="none" w:sz="0" w:space="0" w:color="auto"/>
            <w:bottom w:val="none" w:sz="0" w:space="0" w:color="auto"/>
            <w:right w:val="none" w:sz="0" w:space="0" w:color="auto"/>
          </w:divBdr>
          <w:divsChild>
            <w:div w:id="114108072">
              <w:marLeft w:val="0"/>
              <w:marRight w:val="0"/>
              <w:marTop w:val="0"/>
              <w:marBottom w:val="0"/>
              <w:divBdr>
                <w:top w:val="none" w:sz="0" w:space="0" w:color="auto"/>
                <w:left w:val="none" w:sz="0" w:space="0" w:color="auto"/>
                <w:bottom w:val="none" w:sz="0" w:space="0" w:color="auto"/>
                <w:right w:val="none" w:sz="0" w:space="0" w:color="auto"/>
              </w:divBdr>
              <w:divsChild>
                <w:div w:id="1587106575">
                  <w:marLeft w:val="0"/>
                  <w:marRight w:val="0"/>
                  <w:marTop w:val="0"/>
                  <w:marBottom w:val="0"/>
                  <w:divBdr>
                    <w:top w:val="none" w:sz="0" w:space="0" w:color="auto"/>
                    <w:left w:val="none" w:sz="0" w:space="0" w:color="auto"/>
                    <w:bottom w:val="none" w:sz="0" w:space="0" w:color="auto"/>
                    <w:right w:val="none" w:sz="0" w:space="0" w:color="auto"/>
                  </w:divBdr>
                </w:div>
              </w:divsChild>
            </w:div>
            <w:div w:id="2094885883">
              <w:marLeft w:val="0"/>
              <w:marRight w:val="0"/>
              <w:marTop w:val="0"/>
              <w:marBottom w:val="0"/>
              <w:divBdr>
                <w:top w:val="none" w:sz="0" w:space="0" w:color="auto"/>
                <w:left w:val="none" w:sz="0" w:space="0" w:color="auto"/>
                <w:bottom w:val="none" w:sz="0" w:space="0" w:color="auto"/>
                <w:right w:val="none" w:sz="0" w:space="0" w:color="auto"/>
              </w:divBdr>
              <w:divsChild>
                <w:div w:id="3006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484627">
      <w:bodyDiv w:val="1"/>
      <w:marLeft w:val="0"/>
      <w:marRight w:val="0"/>
      <w:marTop w:val="0"/>
      <w:marBottom w:val="0"/>
      <w:divBdr>
        <w:top w:val="none" w:sz="0" w:space="0" w:color="auto"/>
        <w:left w:val="none" w:sz="0" w:space="0" w:color="auto"/>
        <w:bottom w:val="none" w:sz="0" w:space="0" w:color="auto"/>
        <w:right w:val="none" w:sz="0" w:space="0" w:color="auto"/>
      </w:divBdr>
      <w:divsChild>
        <w:div w:id="963855099">
          <w:marLeft w:val="0"/>
          <w:marRight w:val="0"/>
          <w:marTop w:val="0"/>
          <w:marBottom w:val="0"/>
          <w:divBdr>
            <w:top w:val="none" w:sz="0" w:space="0" w:color="auto"/>
            <w:left w:val="none" w:sz="0" w:space="0" w:color="auto"/>
            <w:bottom w:val="none" w:sz="0" w:space="0" w:color="auto"/>
            <w:right w:val="none" w:sz="0" w:space="0" w:color="auto"/>
          </w:divBdr>
        </w:div>
        <w:div w:id="924189023">
          <w:marLeft w:val="0"/>
          <w:marRight w:val="0"/>
          <w:marTop w:val="0"/>
          <w:marBottom w:val="0"/>
          <w:divBdr>
            <w:top w:val="none" w:sz="0" w:space="0" w:color="auto"/>
            <w:left w:val="none" w:sz="0" w:space="0" w:color="auto"/>
            <w:bottom w:val="none" w:sz="0" w:space="0" w:color="auto"/>
            <w:right w:val="none" w:sz="0" w:space="0" w:color="auto"/>
          </w:divBdr>
        </w:div>
        <w:div w:id="812482552">
          <w:marLeft w:val="0"/>
          <w:marRight w:val="0"/>
          <w:marTop w:val="0"/>
          <w:marBottom w:val="0"/>
          <w:divBdr>
            <w:top w:val="none" w:sz="0" w:space="0" w:color="auto"/>
            <w:left w:val="none" w:sz="0" w:space="0" w:color="auto"/>
            <w:bottom w:val="none" w:sz="0" w:space="0" w:color="auto"/>
            <w:right w:val="none" w:sz="0" w:space="0" w:color="auto"/>
          </w:divBdr>
        </w:div>
        <w:div w:id="1848714861">
          <w:marLeft w:val="0"/>
          <w:marRight w:val="0"/>
          <w:marTop w:val="0"/>
          <w:marBottom w:val="0"/>
          <w:divBdr>
            <w:top w:val="none" w:sz="0" w:space="0" w:color="auto"/>
            <w:left w:val="none" w:sz="0" w:space="0" w:color="auto"/>
            <w:bottom w:val="none" w:sz="0" w:space="0" w:color="auto"/>
            <w:right w:val="none" w:sz="0" w:space="0" w:color="auto"/>
          </w:divBdr>
        </w:div>
        <w:div w:id="1172988013">
          <w:marLeft w:val="0"/>
          <w:marRight w:val="0"/>
          <w:marTop w:val="0"/>
          <w:marBottom w:val="0"/>
          <w:divBdr>
            <w:top w:val="none" w:sz="0" w:space="0" w:color="auto"/>
            <w:left w:val="none" w:sz="0" w:space="0" w:color="auto"/>
            <w:bottom w:val="none" w:sz="0" w:space="0" w:color="auto"/>
            <w:right w:val="none" w:sz="0" w:space="0" w:color="auto"/>
          </w:divBdr>
        </w:div>
        <w:div w:id="1784416703">
          <w:marLeft w:val="0"/>
          <w:marRight w:val="0"/>
          <w:marTop w:val="0"/>
          <w:marBottom w:val="0"/>
          <w:divBdr>
            <w:top w:val="none" w:sz="0" w:space="0" w:color="auto"/>
            <w:left w:val="none" w:sz="0" w:space="0" w:color="auto"/>
            <w:bottom w:val="none" w:sz="0" w:space="0" w:color="auto"/>
            <w:right w:val="none" w:sz="0" w:space="0" w:color="auto"/>
          </w:divBdr>
        </w:div>
        <w:div w:id="1671254707">
          <w:marLeft w:val="0"/>
          <w:marRight w:val="0"/>
          <w:marTop w:val="0"/>
          <w:marBottom w:val="0"/>
          <w:divBdr>
            <w:top w:val="none" w:sz="0" w:space="0" w:color="auto"/>
            <w:left w:val="none" w:sz="0" w:space="0" w:color="auto"/>
            <w:bottom w:val="none" w:sz="0" w:space="0" w:color="auto"/>
            <w:right w:val="none" w:sz="0" w:space="0" w:color="auto"/>
          </w:divBdr>
        </w:div>
        <w:div w:id="802767450">
          <w:marLeft w:val="0"/>
          <w:marRight w:val="0"/>
          <w:marTop w:val="0"/>
          <w:marBottom w:val="0"/>
          <w:divBdr>
            <w:top w:val="none" w:sz="0" w:space="0" w:color="auto"/>
            <w:left w:val="none" w:sz="0" w:space="0" w:color="auto"/>
            <w:bottom w:val="none" w:sz="0" w:space="0" w:color="auto"/>
            <w:right w:val="none" w:sz="0" w:space="0" w:color="auto"/>
          </w:divBdr>
        </w:div>
        <w:div w:id="194124469">
          <w:marLeft w:val="0"/>
          <w:marRight w:val="0"/>
          <w:marTop w:val="0"/>
          <w:marBottom w:val="0"/>
          <w:divBdr>
            <w:top w:val="none" w:sz="0" w:space="0" w:color="auto"/>
            <w:left w:val="none" w:sz="0" w:space="0" w:color="auto"/>
            <w:bottom w:val="none" w:sz="0" w:space="0" w:color="auto"/>
            <w:right w:val="none" w:sz="0" w:space="0" w:color="auto"/>
          </w:divBdr>
        </w:div>
        <w:div w:id="744573082">
          <w:marLeft w:val="0"/>
          <w:marRight w:val="0"/>
          <w:marTop w:val="0"/>
          <w:marBottom w:val="0"/>
          <w:divBdr>
            <w:top w:val="none" w:sz="0" w:space="0" w:color="auto"/>
            <w:left w:val="none" w:sz="0" w:space="0" w:color="auto"/>
            <w:bottom w:val="none" w:sz="0" w:space="0" w:color="auto"/>
            <w:right w:val="none" w:sz="0" w:space="0" w:color="auto"/>
          </w:divBdr>
        </w:div>
        <w:div w:id="1255286227">
          <w:marLeft w:val="0"/>
          <w:marRight w:val="0"/>
          <w:marTop w:val="0"/>
          <w:marBottom w:val="0"/>
          <w:divBdr>
            <w:top w:val="none" w:sz="0" w:space="0" w:color="auto"/>
            <w:left w:val="none" w:sz="0" w:space="0" w:color="auto"/>
            <w:bottom w:val="none" w:sz="0" w:space="0" w:color="auto"/>
            <w:right w:val="none" w:sz="0" w:space="0" w:color="auto"/>
          </w:divBdr>
        </w:div>
        <w:div w:id="625624707">
          <w:marLeft w:val="0"/>
          <w:marRight w:val="0"/>
          <w:marTop w:val="0"/>
          <w:marBottom w:val="0"/>
          <w:divBdr>
            <w:top w:val="none" w:sz="0" w:space="0" w:color="auto"/>
            <w:left w:val="none" w:sz="0" w:space="0" w:color="auto"/>
            <w:bottom w:val="none" w:sz="0" w:space="0" w:color="auto"/>
            <w:right w:val="none" w:sz="0" w:space="0" w:color="auto"/>
          </w:divBdr>
        </w:div>
        <w:div w:id="1031765264">
          <w:marLeft w:val="0"/>
          <w:marRight w:val="0"/>
          <w:marTop w:val="0"/>
          <w:marBottom w:val="0"/>
          <w:divBdr>
            <w:top w:val="none" w:sz="0" w:space="0" w:color="auto"/>
            <w:left w:val="none" w:sz="0" w:space="0" w:color="auto"/>
            <w:bottom w:val="none" w:sz="0" w:space="0" w:color="auto"/>
            <w:right w:val="none" w:sz="0" w:space="0" w:color="auto"/>
          </w:divBdr>
        </w:div>
        <w:div w:id="1798258591">
          <w:marLeft w:val="0"/>
          <w:marRight w:val="0"/>
          <w:marTop w:val="0"/>
          <w:marBottom w:val="0"/>
          <w:divBdr>
            <w:top w:val="none" w:sz="0" w:space="0" w:color="auto"/>
            <w:left w:val="none" w:sz="0" w:space="0" w:color="auto"/>
            <w:bottom w:val="none" w:sz="0" w:space="0" w:color="auto"/>
            <w:right w:val="none" w:sz="0" w:space="0" w:color="auto"/>
          </w:divBdr>
        </w:div>
        <w:div w:id="1594513092">
          <w:marLeft w:val="0"/>
          <w:marRight w:val="0"/>
          <w:marTop w:val="0"/>
          <w:marBottom w:val="0"/>
          <w:divBdr>
            <w:top w:val="none" w:sz="0" w:space="0" w:color="auto"/>
            <w:left w:val="none" w:sz="0" w:space="0" w:color="auto"/>
            <w:bottom w:val="none" w:sz="0" w:space="0" w:color="auto"/>
            <w:right w:val="none" w:sz="0" w:space="0" w:color="auto"/>
          </w:divBdr>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docs.fcc.gov/public/attachments/FCC-21-32A1.pdf" TargetMode="External"/><Relationship Id="rId2" Type="http://schemas.openxmlformats.org/officeDocument/2006/relationships/customXml" Target="../customXml/item1.xml"/><Relationship Id="rId16" Type="http://schemas.openxmlformats.org/officeDocument/2006/relationships/hyperlink" Target="https://docs.fcc.gov/public/attachments/FCC-20-22A1.pdf"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40F0A-618F-144E-8C8D-993799FA4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235</TotalTime>
  <Pages>6</Pages>
  <Words>2805</Words>
  <Characters>15993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18761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116</cp:revision>
  <cp:lastPrinted>2019-02-25T14:05:00Z</cp:lastPrinted>
  <dcterms:created xsi:type="dcterms:W3CDTF">2021-04-01T09:57:00Z</dcterms:created>
  <dcterms:modified xsi:type="dcterms:W3CDTF">2021-05-11T17:10:00Z</dcterms:modified>
  <cp:category/>
</cp:coreProperties>
</file>